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D35" w:rsidRDefault="00783043" w:rsidP="00994D35">
      <w:pPr>
        <w:jc w:val="center"/>
        <w:rPr>
          <w:b/>
        </w:rPr>
      </w:pPr>
      <w:r w:rsidRPr="00994D35">
        <w:rPr>
          <w:b/>
        </w:rPr>
        <w:t xml:space="preserve">Obrazloženje uz izvještaj o izvršenju Financijskog plana </w:t>
      </w:r>
    </w:p>
    <w:p w:rsidR="000435DC" w:rsidRPr="00994D35" w:rsidRDefault="00783043" w:rsidP="00994D35">
      <w:pPr>
        <w:jc w:val="center"/>
        <w:rPr>
          <w:b/>
        </w:rPr>
      </w:pPr>
      <w:r w:rsidRPr="00994D35">
        <w:rPr>
          <w:b/>
        </w:rPr>
        <w:t>Škole primijenjene umjetnosti i dizajna</w:t>
      </w:r>
      <w:r w:rsidR="00994D35">
        <w:rPr>
          <w:b/>
        </w:rPr>
        <w:t>, Zadar</w:t>
      </w:r>
      <w:r w:rsidRPr="00994D35">
        <w:rPr>
          <w:b/>
        </w:rPr>
        <w:t xml:space="preserve"> za 202</w:t>
      </w:r>
      <w:r w:rsidR="00B4156E">
        <w:rPr>
          <w:b/>
        </w:rPr>
        <w:t>5</w:t>
      </w:r>
      <w:r w:rsidRPr="00994D35">
        <w:rPr>
          <w:b/>
        </w:rPr>
        <w:t>. godinu</w:t>
      </w:r>
    </w:p>
    <w:p w:rsidR="00994D35" w:rsidRDefault="00994D35" w:rsidP="00783043">
      <w:pPr>
        <w:jc w:val="center"/>
      </w:pPr>
    </w:p>
    <w:p w:rsidR="00B03D57" w:rsidRDefault="00783043" w:rsidP="00994D35">
      <w:pPr>
        <w:spacing w:line="360" w:lineRule="auto"/>
        <w:jc w:val="both"/>
      </w:pPr>
      <w:r>
        <w:t xml:space="preserve">Prema Zakonu o proračunu (NN 144/21) utvrđena je obveza izrade Godišnjeg izvještaja o izvršenju financijskog plana proračunskog korisnika za proteklu godinu te dostave upravljačkom tijelu na usvajanje, najkasnije do 31. ožujka tekuće godine. </w:t>
      </w:r>
      <w:r w:rsidR="00B03D57">
        <w:t>Tijekom 202</w:t>
      </w:r>
      <w:r w:rsidR="008A3677">
        <w:t>5</w:t>
      </w:r>
      <w:r w:rsidR="00B03D57">
        <w:t>. godine financiranje javnih rashoda izvršeno je na osnovi sljedećih financijsko planskih dokumenata:</w:t>
      </w:r>
    </w:p>
    <w:p w:rsidR="00B03D57" w:rsidRDefault="00B03D57" w:rsidP="00994D35">
      <w:pPr>
        <w:spacing w:line="360" w:lineRule="auto"/>
        <w:jc w:val="both"/>
      </w:pPr>
      <w:r>
        <w:t xml:space="preserve">- </w:t>
      </w:r>
      <w:r w:rsidRPr="00DF7616">
        <w:rPr>
          <w:i/>
        </w:rPr>
        <w:t>Financijskog plana za 202</w:t>
      </w:r>
      <w:r w:rsidR="008A3677">
        <w:rPr>
          <w:i/>
        </w:rPr>
        <w:t>5</w:t>
      </w:r>
      <w:r w:rsidRPr="00DF7616">
        <w:rPr>
          <w:i/>
        </w:rPr>
        <w:t>. godinu s projekcijama za 202</w:t>
      </w:r>
      <w:r w:rsidR="008A3677">
        <w:rPr>
          <w:i/>
        </w:rPr>
        <w:t>6</w:t>
      </w:r>
      <w:r w:rsidRPr="00DF7616">
        <w:rPr>
          <w:i/>
        </w:rPr>
        <w:t>. i 202</w:t>
      </w:r>
      <w:r w:rsidR="008A3677">
        <w:rPr>
          <w:i/>
        </w:rPr>
        <w:t>7</w:t>
      </w:r>
      <w:r w:rsidRPr="00DF7616">
        <w:rPr>
          <w:i/>
        </w:rPr>
        <w:t>. godinu</w:t>
      </w:r>
    </w:p>
    <w:p w:rsidR="00B03D57" w:rsidRDefault="00B03D57" w:rsidP="00994D35">
      <w:pPr>
        <w:spacing w:line="360" w:lineRule="auto"/>
        <w:jc w:val="both"/>
      </w:pPr>
      <w:r>
        <w:t xml:space="preserve">- </w:t>
      </w:r>
      <w:r w:rsidRPr="00DF7616">
        <w:rPr>
          <w:i/>
        </w:rPr>
        <w:t>Izmjena i dopuna Financijskog plana za 202</w:t>
      </w:r>
      <w:r w:rsidR="008A3677">
        <w:rPr>
          <w:i/>
        </w:rPr>
        <w:t>5</w:t>
      </w:r>
      <w:r w:rsidRPr="00DF7616">
        <w:rPr>
          <w:i/>
        </w:rPr>
        <w:t>. godinu</w:t>
      </w:r>
    </w:p>
    <w:p w:rsidR="006A2189" w:rsidRPr="00DF7616" w:rsidRDefault="006A2189" w:rsidP="00994D35">
      <w:pPr>
        <w:spacing w:line="360" w:lineRule="auto"/>
        <w:jc w:val="both"/>
        <w:rPr>
          <w:b/>
        </w:rPr>
      </w:pPr>
      <w:r w:rsidRPr="00DF7616">
        <w:rPr>
          <w:b/>
        </w:rPr>
        <w:t>SAŽETAK DJELOKRUGA RADA</w:t>
      </w:r>
    </w:p>
    <w:p w:rsidR="006A2189" w:rsidRDefault="006A2189" w:rsidP="00994D35">
      <w:pPr>
        <w:spacing w:line="360" w:lineRule="auto"/>
        <w:jc w:val="both"/>
      </w:pPr>
      <w:r>
        <w:t>Škola primijenjene umjetnosti i dizajna obrazuje učenike u području likovne umjetnosti i dizajna i u području odjeće i tekstila. Nastava je organizirana u jutarnjoj i popodnevnoj smjeni u petodnevnom radnom tjednu ( subote po potrebi).</w:t>
      </w:r>
    </w:p>
    <w:p w:rsidR="006A2189" w:rsidRDefault="006A2189" w:rsidP="00994D35">
      <w:pPr>
        <w:spacing w:line="360" w:lineRule="auto"/>
        <w:jc w:val="both"/>
      </w:pPr>
      <w:r>
        <w:t>U području likovne umjetnosti i dizajna učenici se mogu obrazovati u 6 različitih smjerova: grafički dizajn, slikarski dizajn, dizajn odjeće, fotografski dizajn, aranžersko – scenografski dizajn i dizajn tekstila a u području odjeće i tekstila i šivač odjeće. Osim redovne nastave učenici i profesori sudjeluju u brojnim vannastavnim aktivnostima uključujući se u vanjske (županijske, gradske, državne) manifestacije, izložbe, razna kulturna i umjetnička događanja.</w:t>
      </w:r>
    </w:p>
    <w:p w:rsidR="00795F0F" w:rsidRDefault="00795F0F" w:rsidP="00795F0F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1. OBRAZLOŽENJE OPĆEG DIJELA IZVJEŠTAJA</w:t>
      </w:r>
    </w:p>
    <w:p w:rsidR="00795F0F" w:rsidRDefault="00795F0F" w:rsidP="00795F0F">
      <w:pPr>
        <w:spacing w:after="0"/>
        <w:jc w:val="both"/>
        <w:rPr>
          <w:b/>
          <w:szCs w:val="24"/>
        </w:rPr>
      </w:pPr>
    </w:p>
    <w:p w:rsidR="00795F0F" w:rsidRDefault="00795F0F" w:rsidP="00795F0F">
      <w:pPr>
        <w:pStyle w:val="Naslov2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Pregled planiranih i ostvarenih prihoda za razdoblje od 1.1.2025. do 31.12.2025.</w:t>
      </w:r>
    </w:p>
    <w:p w:rsidR="00795F0F" w:rsidRDefault="00795F0F" w:rsidP="00795F0F">
      <w:pPr>
        <w:rPr>
          <w:rFonts w:ascii="Times New Roman" w:hAnsi="Times New Roman" w:cs="Times New Roman"/>
          <w:sz w:val="24"/>
        </w:rPr>
      </w:pPr>
    </w:p>
    <w:p w:rsidR="00795F0F" w:rsidRDefault="00795F0F" w:rsidP="00795F0F">
      <w:pPr>
        <w:jc w:val="both"/>
      </w:pPr>
      <w:r>
        <w:t>Prihodi poslovanja za 2025. godinu planirani su u iznosu od 2.080.154,59 eura, a ostvareni u iznosu od  1.949.765,61 eura što predstavlja izvršenje plana od 93,73 %.</w:t>
      </w:r>
    </w:p>
    <w:p w:rsidR="00795F0F" w:rsidRDefault="00795F0F" w:rsidP="00795F0F">
      <w:pPr>
        <w:jc w:val="both"/>
      </w:pPr>
    </w:p>
    <w:p w:rsidR="00795F0F" w:rsidRDefault="00795F0F" w:rsidP="00795F0F">
      <w:pPr>
        <w:jc w:val="both"/>
        <w:rPr>
          <w:b/>
          <w:i/>
        </w:rPr>
      </w:pPr>
      <w:r>
        <w:rPr>
          <w:b/>
          <w:i/>
        </w:rPr>
        <w:t>Prihodi od pomoći iz inozemstva i od subjekata unutar općeg proračuna</w:t>
      </w:r>
    </w:p>
    <w:p w:rsidR="00795F0F" w:rsidRPr="00795F0F" w:rsidRDefault="00795F0F" w:rsidP="00795F0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t xml:space="preserve">Pomoći proračunskim korisnicima iz proračuna koji im nije nadležan ostvarene su u visini od </w:t>
      </w:r>
      <w:r w:rsidRPr="00795F0F">
        <w:rPr>
          <w:rFonts w:eastAsia="Times New Roman" w:cstheme="minorHAnsi"/>
          <w:color w:val="000000"/>
          <w:lang w:eastAsia="hr-HR"/>
        </w:rPr>
        <w:t>1.793.548,90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>
        <w:t xml:space="preserve">eura što iznosi 93,34% od plana. Ostvareno se odnosi na </w:t>
      </w:r>
      <w:r>
        <w:rPr>
          <w:i/>
        </w:rPr>
        <w:t>pomoći iz državnog proračuna</w:t>
      </w:r>
      <w:r>
        <w:t xml:space="preserve"> odnosno MZOM (prihodi za plaće, materijalna prava zaposlenika,  županijsko stručno vijeće, prihoda za lektiru i udžbenike za učenike raseljene iz Ukrajine) i MRMSOS (prihodi za </w:t>
      </w:r>
      <w:proofErr w:type="spellStart"/>
      <w:r>
        <w:t>higiijenske</w:t>
      </w:r>
      <w:proofErr w:type="spellEnd"/>
      <w:r>
        <w:t xml:space="preserve"> potrepštine), </w:t>
      </w:r>
      <w:r>
        <w:rPr>
          <w:i/>
          <w:iCs/>
        </w:rPr>
        <w:t>tekuće prijenose između korisnika istog proračuna</w:t>
      </w:r>
      <w:r>
        <w:t xml:space="preserve"> (Projekt Školska shema i Projekt </w:t>
      </w:r>
      <w:proofErr w:type="spellStart"/>
      <w:r>
        <w:t>Inkluzija</w:t>
      </w:r>
      <w:proofErr w:type="spellEnd"/>
      <w:r>
        <w:t xml:space="preserve"> – korak bliže društvu bez prepreka kojim se financira rad pomoćnika u nastavi) .</w:t>
      </w:r>
    </w:p>
    <w:p w:rsidR="00795F0F" w:rsidRDefault="00795F0F" w:rsidP="00795F0F">
      <w:pPr>
        <w:spacing w:after="0"/>
        <w:jc w:val="both"/>
      </w:pPr>
    </w:p>
    <w:p w:rsidR="00795F0F" w:rsidRDefault="00795F0F" w:rsidP="00795F0F">
      <w:pPr>
        <w:spacing w:after="0"/>
        <w:jc w:val="both"/>
        <w:rPr>
          <w:b/>
          <w:i/>
        </w:rPr>
      </w:pPr>
      <w:r>
        <w:rPr>
          <w:b/>
          <w:i/>
        </w:rPr>
        <w:t>Prihodi od prodaje proizvoda i robe te pruženih usluga</w:t>
      </w:r>
    </w:p>
    <w:p w:rsidR="00795F0F" w:rsidRDefault="00795F0F" w:rsidP="00795F0F">
      <w:pPr>
        <w:spacing w:after="0"/>
        <w:jc w:val="both"/>
        <w:rPr>
          <w:b/>
          <w:i/>
        </w:rPr>
      </w:pPr>
    </w:p>
    <w:p w:rsidR="00795F0F" w:rsidRDefault="00795F0F" w:rsidP="00795F0F">
      <w:pPr>
        <w:spacing w:after="0"/>
        <w:jc w:val="both"/>
      </w:pPr>
      <w:r>
        <w:t>Vlastiti prihodi, odnosno prihodi od prodaje proizvoda i robe te pruženih usluga planirani su u iznosu od 2.900,00 eura, a ostvareni u iznosu od 2.394,59 eura s indeksom 82,57. Škola je ostvarila vlastite prihode od najma prostora.</w:t>
      </w:r>
    </w:p>
    <w:p w:rsidR="00795F0F" w:rsidRDefault="00795F0F" w:rsidP="00795F0F">
      <w:pPr>
        <w:spacing w:after="0"/>
        <w:jc w:val="both"/>
        <w:rPr>
          <w:b/>
          <w:i/>
        </w:rPr>
      </w:pPr>
    </w:p>
    <w:p w:rsidR="00795F0F" w:rsidRDefault="00795F0F" w:rsidP="00795F0F">
      <w:pPr>
        <w:spacing w:after="0"/>
        <w:jc w:val="both"/>
        <w:rPr>
          <w:b/>
          <w:i/>
        </w:rPr>
      </w:pPr>
      <w:r>
        <w:rPr>
          <w:b/>
          <w:i/>
        </w:rPr>
        <w:t xml:space="preserve">Prihodi iz nadležnog proračuna </w:t>
      </w:r>
    </w:p>
    <w:p w:rsidR="00795F0F" w:rsidRDefault="00795F0F" w:rsidP="00795F0F">
      <w:pPr>
        <w:spacing w:after="0"/>
        <w:jc w:val="both"/>
        <w:rPr>
          <w:b/>
          <w:i/>
        </w:rPr>
      </w:pPr>
    </w:p>
    <w:p w:rsidR="00AC50EC" w:rsidRPr="00AC50EC" w:rsidRDefault="00795F0F" w:rsidP="00AC50EC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t xml:space="preserve">Prihodi iz nadležnog proračuna ostvareni su u iznosu od 144.244,00 eura što je 99,15% od plana. Prihodi iz proračuna za financiranje redovne djelatnosti su prihodi iz proračuna Zadarske županije koji su planirani u iznosu </w:t>
      </w:r>
      <w:r w:rsidRPr="00AC50EC">
        <w:rPr>
          <w:rFonts w:cstheme="minorHAnsi"/>
        </w:rPr>
        <w:t>od</w:t>
      </w:r>
      <w:r w:rsidR="00AC50EC">
        <w:rPr>
          <w:rFonts w:cstheme="minorHAnsi"/>
        </w:rPr>
        <w:t xml:space="preserve"> </w:t>
      </w:r>
      <w:r w:rsidR="00AC50EC" w:rsidRPr="00AC50EC">
        <w:rPr>
          <w:rFonts w:eastAsia="Times New Roman" w:cstheme="minorHAnsi"/>
          <w:color w:val="000000"/>
          <w:lang w:eastAsia="hr-HR"/>
        </w:rPr>
        <w:t>145.485,80</w:t>
      </w:r>
    </w:p>
    <w:p w:rsidR="00795F0F" w:rsidRDefault="00795F0F" w:rsidP="00795F0F">
      <w:pPr>
        <w:spacing w:after="0"/>
        <w:jc w:val="both"/>
      </w:pPr>
      <w:r>
        <w:t xml:space="preserve"> eura.</w:t>
      </w:r>
    </w:p>
    <w:p w:rsidR="00795F0F" w:rsidRDefault="00795F0F" w:rsidP="00795F0F">
      <w:pPr>
        <w:spacing w:after="0"/>
        <w:jc w:val="both"/>
      </w:pPr>
    </w:p>
    <w:p w:rsidR="00684023" w:rsidRDefault="00684023" w:rsidP="00684023">
      <w:pPr>
        <w:spacing w:after="0"/>
        <w:ind w:left="705" w:hanging="705"/>
        <w:jc w:val="both"/>
      </w:pPr>
      <w:r>
        <w:rPr>
          <w:b/>
        </w:rPr>
        <w:t xml:space="preserve">1.2 </w:t>
      </w:r>
      <w:r>
        <w:rPr>
          <w:b/>
        </w:rPr>
        <w:tab/>
        <w:t>Pregled planiranih i ostvarenih rashoda za razdoblje od 1.1.2025. do 31.12.2025. godine</w:t>
      </w:r>
      <w:r>
        <w:t xml:space="preserve"> </w:t>
      </w:r>
    </w:p>
    <w:p w:rsidR="00684023" w:rsidRDefault="00684023" w:rsidP="00684023">
      <w:pPr>
        <w:spacing w:after="0"/>
        <w:jc w:val="both"/>
      </w:pPr>
    </w:p>
    <w:p w:rsidR="00684023" w:rsidRDefault="00684023" w:rsidP="00684023">
      <w:pPr>
        <w:spacing w:after="0"/>
        <w:jc w:val="both"/>
      </w:pPr>
      <w:r>
        <w:t>Ukupni rashodi ostvareni su u iznosu od 2.106.814,35 eura što predstavlja izvršenje plana od 100,97%.</w:t>
      </w:r>
    </w:p>
    <w:p w:rsidR="00684023" w:rsidRDefault="00684023" w:rsidP="00684023">
      <w:pPr>
        <w:spacing w:after="0"/>
        <w:jc w:val="both"/>
      </w:pPr>
      <w:r>
        <w:t>Najveći dio ostvarenih rashoda odnose se na rashode za zaposlene i materijalni rashodi.</w:t>
      </w:r>
    </w:p>
    <w:p w:rsidR="00684023" w:rsidRDefault="00684023" w:rsidP="00684023">
      <w:pPr>
        <w:spacing w:after="0"/>
        <w:jc w:val="both"/>
        <w:rPr>
          <w:b/>
          <w:i/>
        </w:rPr>
      </w:pPr>
    </w:p>
    <w:p w:rsidR="00684023" w:rsidRDefault="00684023" w:rsidP="00684023">
      <w:pPr>
        <w:spacing w:after="0"/>
        <w:jc w:val="both"/>
        <w:rPr>
          <w:b/>
          <w:i/>
        </w:rPr>
      </w:pPr>
      <w:r>
        <w:rPr>
          <w:b/>
          <w:i/>
        </w:rPr>
        <w:t>Rashodi za zaposlene</w:t>
      </w:r>
    </w:p>
    <w:p w:rsidR="00684023" w:rsidRDefault="00684023" w:rsidP="00684023">
      <w:pPr>
        <w:spacing w:after="0"/>
        <w:jc w:val="both"/>
        <w:rPr>
          <w:b/>
          <w:i/>
        </w:rPr>
      </w:pPr>
    </w:p>
    <w:p w:rsidR="00684023" w:rsidRDefault="00684023" w:rsidP="00684023">
      <w:pPr>
        <w:spacing w:after="0"/>
        <w:jc w:val="both"/>
      </w:pPr>
      <w:r>
        <w:t>Rashodi za zaposlene izvršeni su u iznosu od 1.</w:t>
      </w:r>
      <w:r w:rsidR="00823AE6">
        <w:t>966.038,67</w:t>
      </w:r>
      <w:r>
        <w:t xml:space="preserve"> eura s indeksom od </w:t>
      </w:r>
      <w:r w:rsidR="00823AE6">
        <w:t>101,26</w:t>
      </w:r>
      <w:r>
        <w:t xml:space="preserve"> u odnosu na plan. Obuhvaćaju rashode za plaće zaposlenika i ostala materijalna prava zaposlenika financiranih iz državnog proračuna te plaće pomoćnika u nastavi.</w:t>
      </w:r>
    </w:p>
    <w:p w:rsidR="00684023" w:rsidRDefault="00684023" w:rsidP="00684023">
      <w:pPr>
        <w:spacing w:after="0"/>
        <w:jc w:val="both"/>
      </w:pPr>
    </w:p>
    <w:p w:rsidR="00684023" w:rsidRDefault="00684023" w:rsidP="00684023">
      <w:pPr>
        <w:spacing w:after="0"/>
        <w:jc w:val="both"/>
        <w:rPr>
          <w:b/>
          <w:i/>
        </w:rPr>
      </w:pPr>
      <w:r>
        <w:rPr>
          <w:b/>
          <w:i/>
        </w:rPr>
        <w:t>Materijalni rashodi</w:t>
      </w:r>
    </w:p>
    <w:p w:rsidR="00684023" w:rsidRDefault="00684023" w:rsidP="00684023">
      <w:pPr>
        <w:spacing w:after="0"/>
        <w:jc w:val="both"/>
        <w:rPr>
          <w:b/>
          <w:i/>
        </w:rPr>
      </w:pPr>
    </w:p>
    <w:p w:rsidR="00684023" w:rsidRDefault="00684023" w:rsidP="00684023">
      <w:pPr>
        <w:spacing w:after="0"/>
        <w:jc w:val="both"/>
      </w:pPr>
      <w:r>
        <w:t xml:space="preserve">Materijalni rashodi planirani su u iznosu od </w:t>
      </w:r>
      <w:r w:rsidR="00823AE6">
        <w:t>138.765,84</w:t>
      </w:r>
      <w:r>
        <w:t xml:space="preserve">eura, a ostvareni u iznosu od </w:t>
      </w:r>
      <w:r w:rsidR="00823AE6">
        <w:t xml:space="preserve">137.818,93 </w:t>
      </w:r>
      <w:r>
        <w:t xml:space="preserve">eura s indeksom </w:t>
      </w:r>
      <w:r w:rsidR="00823AE6">
        <w:t>99,32</w:t>
      </w:r>
      <w:r>
        <w:t xml:space="preserve">. </w:t>
      </w:r>
    </w:p>
    <w:p w:rsidR="00823AE6" w:rsidRDefault="00823AE6" w:rsidP="00684023">
      <w:pPr>
        <w:spacing w:after="0"/>
        <w:jc w:val="both"/>
      </w:pPr>
    </w:p>
    <w:p w:rsidR="00684023" w:rsidRDefault="00684023" w:rsidP="00684023">
      <w:p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Ostali rashodi</w:t>
      </w:r>
    </w:p>
    <w:p w:rsidR="00684023" w:rsidRDefault="00684023" w:rsidP="00684023">
      <w:pPr>
        <w:spacing w:after="0"/>
        <w:jc w:val="both"/>
        <w:rPr>
          <w:b/>
          <w:bCs/>
          <w:i/>
          <w:iCs/>
        </w:rPr>
      </w:pPr>
    </w:p>
    <w:p w:rsidR="00684023" w:rsidRDefault="00684023" w:rsidP="00684023">
      <w:pPr>
        <w:spacing w:after="0"/>
        <w:jc w:val="both"/>
      </w:pPr>
      <w:r>
        <w:t xml:space="preserve">Ostali rashodi planirani u iznosu od </w:t>
      </w:r>
      <w:r w:rsidR="00E95758">
        <w:t>1.080,00</w:t>
      </w:r>
      <w:r>
        <w:t xml:space="preserve"> eura izvršeni su s indeksom</w:t>
      </w:r>
      <w:r w:rsidR="00E95758">
        <w:t xml:space="preserve"> 99,54</w:t>
      </w:r>
      <w:r>
        <w:t>, a odnose se na nabavu zaliha menstrualnih potrepština.</w:t>
      </w:r>
    </w:p>
    <w:p w:rsidR="00684023" w:rsidRDefault="00684023" w:rsidP="00684023">
      <w:pPr>
        <w:spacing w:after="0"/>
        <w:jc w:val="both"/>
      </w:pPr>
    </w:p>
    <w:p w:rsidR="00684023" w:rsidRDefault="00684023" w:rsidP="00684023">
      <w:pPr>
        <w:spacing w:after="0"/>
        <w:jc w:val="both"/>
        <w:rPr>
          <w:b/>
          <w:i/>
        </w:rPr>
      </w:pPr>
      <w:r>
        <w:rPr>
          <w:b/>
          <w:i/>
        </w:rPr>
        <w:t>Rashodi za nabavu nefinancijske imovine</w:t>
      </w:r>
    </w:p>
    <w:p w:rsidR="00684023" w:rsidRDefault="00684023" w:rsidP="00684023">
      <w:pPr>
        <w:spacing w:after="0"/>
        <w:jc w:val="both"/>
      </w:pPr>
    </w:p>
    <w:p w:rsidR="00684023" w:rsidRDefault="00684023" w:rsidP="00684023">
      <w:pPr>
        <w:spacing w:after="0"/>
        <w:jc w:val="both"/>
      </w:pPr>
      <w:r>
        <w:t xml:space="preserve">Rashodi za nabavu nefinancijske imovine izvršeni su u iznosu od </w:t>
      </w:r>
      <w:r w:rsidR="00E95758">
        <w:t>1.876,65</w:t>
      </w:r>
      <w:r>
        <w:t xml:space="preserve"> eura  što je </w:t>
      </w:r>
      <w:r w:rsidR="00E95758">
        <w:t>36,94</w:t>
      </w:r>
      <w:r>
        <w:t xml:space="preserve">% od plana. </w:t>
      </w:r>
    </w:p>
    <w:p w:rsidR="00684023" w:rsidRDefault="00684023" w:rsidP="00684023">
      <w:pPr>
        <w:spacing w:after="0"/>
        <w:jc w:val="both"/>
      </w:pPr>
      <w:r>
        <w:t>Obuhvaćaju rashode za nabavu uredsk</w:t>
      </w:r>
      <w:r w:rsidR="00E95758">
        <w:t>e opreme</w:t>
      </w:r>
      <w:r>
        <w:t xml:space="preserve"> i knjiga.</w:t>
      </w:r>
    </w:p>
    <w:p w:rsidR="00684023" w:rsidRDefault="00684023" w:rsidP="00684023">
      <w:pPr>
        <w:spacing w:after="0"/>
        <w:jc w:val="both"/>
      </w:pPr>
    </w:p>
    <w:p w:rsidR="00684023" w:rsidRDefault="00684023" w:rsidP="00684023">
      <w:pPr>
        <w:spacing w:after="0"/>
        <w:jc w:val="both"/>
      </w:pPr>
    </w:p>
    <w:p w:rsidR="00684023" w:rsidRDefault="00684023" w:rsidP="00684023">
      <w:pPr>
        <w:spacing w:after="0"/>
        <w:jc w:val="both"/>
        <w:rPr>
          <w:b/>
        </w:rPr>
      </w:pPr>
      <w:r>
        <w:rPr>
          <w:b/>
        </w:rPr>
        <w:t xml:space="preserve">1.3 </w:t>
      </w:r>
      <w:r w:rsidR="00E95758">
        <w:rPr>
          <w:b/>
        </w:rPr>
        <w:t>Manjak prihoda</w:t>
      </w:r>
    </w:p>
    <w:p w:rsidR="00684023" w:rsidRDefault="00684023" w:rsidP="00684023">
      <w:pPr>
        <w:spacing w:after="0"/>
        <w:jc w:val="both"/>
        <w:rPr>
          <w:b/>
        </w:rPr>
      </w:pPr>
    </w:p>
    <w:p w:rsidR="00684023" w:rsidRDefault="00E95758" w:rsidP="00684023">
      <w:pPr>
        <w:spacing w:after="0"/>
        <w:jc w:val="both"/>
      </w:pPr>
      <w:r>
        <w:t>Ostvaren je manjak prihoda nad rashodima kao rezultat primjene novog Pravilnika o proračunskom računovodstvu i Računskom planu, planira se metodološki manjak koji će biti najvećim dijelom pokriven uplatom Ministarstva znanosti, obrazovanja i mladih u 2026. godini.</w:t>
      </w:r>
    </w:p>
    <w:p w:rsidR="00795F0F" w:rsidRDefault="00795F0F" w:rsidP="00994D35">
      <w:pPr>
        <w:spacing w:line="360" w:lineRule="auto"/>
        <w:jc w:val="both"/>
        <w:rPr>
          <w:b/>
        </w:rPr>
      </w:pPr>
    </w:p>
    <w:p w:rsidR="00DF7616" w:rsidRPr="00483482" w:rsidRDefault="00B03D57" w:rsidP="00994D35">
      <w:pPr>
        <w:spacing w:line="360" w:lineRule="auto"/>
        <w:jc w:val="both"/>
        <w:rPr>
          <w:b/>
        </w:rPr>
      </w:pPr>
      <w:r w:rsidRPr="00483482">
        <w:rPr>
          <w:b/>
        </w:rPr>
        <w:t>OBRAZLOŽENJE POSEBNOG DIJELA</w:t>
      </w:r>
      <w:r w:rsidR="00483482" w:rsidRPr="00483482">
        <w:rPr>
          <w:b/>
        </w:rPr>
        <w:t xml:space="preserve"> IZVJEŠTAJA</w:t>
      </w:r>
    </w:p>
    <w:p w:rsidR="00DF7616" w:rsidRDefault="00DF7616" w:rsidP="00994D35">
      <w:pPr>
        <w:spacing w:line="360" w:lineRule="auto"/>
        <w:jc w:val="both"/>
      </w:pPr>
      <w:r>
        <w:t>Obzirom na programe</w:t>
      </w:r>
      <w:r w:rsidR="0089395C">
        <w:t>,</w:t>
      </w:r>
      <w:r>
        <w:t xml:space="preserve"> izvršenje Financijskog plana Škole primijenjene umjetnosti i dizajna, Zadar je sljedeće:</w:t>
      </w:r>
    </w:p>
    <w:tbl>
      <w:tblPr>
        <w:tblW w:w="23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46"/>
        <w:gridCol w:w="1549"/>
        <w:gridCol w:w="1969"/>
        <w:gridCol w:w="811"/>
        <w:gridCol w:w="7"/>
        <w:gridCol w:w="960"/>
        <w:gridCol w:w="1339"/>
        <w:gridCol w:w="1147"/>
        <w:gridCol w:w="1147"/>
        <w:gridCol w:w="1147"/>
        <w:gridCol w:w="1147"/>
        <w:gridCol w:w="1147"/>
        <w:gridCol w:w="935"/>
        <w:gridCol w:w="935"/>
        <w:gridCol w:w="935"/>
        <w:gridCol w:w="935"/>
        <w:gridCol w:w="935"/>
        <w:gridCol w:w="935"/>
        <w:gridCol w:w="935"/>
        <w:gridCol w:w="936"/>
      </w:tblGrid>
      <w:tr w:rsidR="00265CA2" w:rsidRPr="00DF7616" w:rsidTr="00265CA2">
        <w:trPr>
          <w:gridAfter w:val="15"/>
          <w:wAfter w:w="15515" w:type="dxa"/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DF7616" w:rsidRDefault="00265CA2" w:rsidP="00DF7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DF7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DF7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Ostvarenje/izvršenje 2025.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DF7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(</w:t>
            </w:r>
            <w:r w:rsidR="00B415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/</w:t>
            </w:r>
            <w:r w:rsidR="00B415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)</w:t>
            </w:r>
          </w:p>
        </w:tc>
      </w:tr>
      <w:tr w:rsidR="00265CA2" w:rsidRPr="00DF7616" w:rsidTr="00265CA2">
        <w:trPr>
          <w:gridAfter w:val="15"/>
          <w:wAfter w:w="15515" w:type="dxa"/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DF7616" w:rsidRDefault="00265CA2" w:rsidP="00DF7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B4156E" w:rsidP="00DF7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B4156E" w:rsidP="00DF7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B4156E" w:rsidP="00DF76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265CA2" w:rsidRPr="00DF7616" w:rsidTr="00265CA2">
        <w:trPr>
          <w:gridAfter w:val="15"/>
          <w:wAfter w:w="15515" w:type="dxa"/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DF7616" w:rsidRDefault="00265CA2" w:rsidP="00DF7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Program: 2204 SREDNJE ŠKOLSTVO STANDARD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E11BE8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2.030.991,04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E11BE8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2.055.274,14</w:t>
            </w:r>
            <w:r w:rsidR="00265CA2"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  <w:r w:rsidR="00E11B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1,23</w:t>
            </w: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bookmarkStart w:id="0" w:name="_GoBack"/>
        <w:bookmarkEnd w:id="0"/>
      </w:tr>
      <w:tr w:rsidR="00265CA2" w:rsidRPr="00DF7616" w:rsidTr="00265CA2">
        <w:trPr>
          <w:gridAfter w:val="15"/>
          <w:wAfter w:w="15515" w:type="dxa"/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DF7616" w:rsidRDefault="00265CA2" w:rsidP="00DF761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DF761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A2204-01 Djelatnost srednjih škola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108.131,03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E11BE8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109.132,13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E11BE8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100,93</w:t>
            </w:r>
          </w:p>
        </w:tc>
      </w:tr>
      <w:tr w:rsidR="00265CA2" w:rsidRPr="00DF7616" w:rsidTr="00265CA2">
        <w:trPr>
          <w:gridAfter w:val="15"/>
          <w:wAfter w:w="15515" w:type="dxa"/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DF7616" w:rsidRDefault="00265CA2" w:rsidP="00DF761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T2204-04 Hitne </w:t>
            </w:r>
            <w:proofErr w:type="spellStart"/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interven.u</w:t>
            </w:r>
            <w:proofErr w:type="spellEnd"/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srednjim školama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9.151,00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9.151,00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100</w:t>
            </w:r>
            <w:r w:rsidR="00AD3DC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265CA2" w:rsidRPr="0089395C" w:rsidTr="00265CA2">
        <w:trPr>
          <w:gridAfter w:val="15"/>
          <w:wAfter w:w="15515" w:type="dxa"/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A2204-07 Administracija i upravljanje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1.913.000,00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E11BE8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1.936.991,04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E11BE8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101,25</w:t>
            </w:r>
          </w:p>
        </w:tc>
      </w:tr>
      <w:tr w:rsidR="00265CA2" w:rsidRPr="0089395C" w:rsidTr="00265CA2">
        <w:trPr>
          <w:gridAfter w:val="15"/>
          <w:wAfter w:w="15515" w:type="dxa"/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Program: 220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SREDNJE ŠKOLSTVO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 IZNAD STANDARDA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EB59B2" w:rsidRDefault="00265CA2" w:rsidP="00EB59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25.081,03</w:t>
            </w: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F40EC8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17.011,94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F40EC8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67,83</w:t>
            </w:r>
            <w:r w:rsidR="00265CA2"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65CA2" w:rsidRPr="00DF7616" w:rsidTr="00265CA2">
        <w:trPr>
          <w:gridAfter w:val="15"/>
          <w:wAfter w:w="15515" w:type="dxa"/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DF7616" w:rsidRDefault="00265CA2" w:rsidP="00423B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A2205-01 Javne potrebe u </w:t>
            </w:r>
            <w:proofErr w:type="spellStart"/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prrosvjeti-koris.SŠ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1.016,96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973,11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95,69</w:t>
            </w:r>
          </w:p>
        </w:tc>
      </w:tr>
      <w:tr w:rsidR="00265CA2" w:rsidRPr="0089395C" w:rsidTr="00265CA2">
        <w:trPr>
          <w:gridAfter w:val="15"/>
          <w:wAfter w:w="15515" w:type="dxa"/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A2205-12 Podizanje kvalitete i standarda u školstvu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17.651,20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EF11D4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9.625,96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EF11D4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54,53</w:t>
            </w:r>
          </w:p>
        </w:tc>
      </w:tr>
      <w:tr w:rsidR="00265CA2" w:rsidRPr="0089395C" w:rsidTr="00265CA2">
        <w:trPr>
          <w:trHeight w:val="348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A2205-22 Natjecanja i smotre u SŠ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2.668,64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2.668,64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65CA2" w:rsidRPr="0089395C" w:rsidTr="00265CA2">
        <w:trPr>
          <w:gridAfter w:val="14"/>
          <w:wAfter w:w="14555" w:type="dxa"/>
          <w:trHeight w:val="255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A2205-31 Školska shema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1.934,21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1,934,21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r-HR"/>
              </w:rPr>
            </w:pPr>
          </w:p>
        </w:tc>
      </w:tr>
      <w:tr w:rsidR="00265CA2" w:rsidRPr="0089395C" w:rsidTr="00265CA2">
        <w:trPr>
          <w:gridAfter w:val="14"/>
          <w:wAfter w:w="14555" w:type="dxa"/>
          <w:trHeight w:val="255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A2" w:rsidRPr="0089395C" w:rsidRDefault="00265CA2" w:rsidP="0089395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A2205-34 Projekt e-škole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5CA2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730,02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5CA2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730,02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5CA2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r-HR"/>
              </w:rPr>
            </w:pPr>
          </w:p>
        </w:tc>
      </w:tr>
      <w:tr w:rsidR="00265CA2" w:rsidRPr="0089395C" w:rsidTr="00265CA2">
        <w:trPr>
          <w:gridAfter w:val="14"/>
          <w:wAfter w:w="14555" w:type="dxa"/>
          <w:trHeight w:val="255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A2" w:rsidRPr="0089395C" w:rsidRDefault="00265CA2" w:rsidP="0089395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A2205-37 Zalihe menstrualnih higijenskih potrepština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5CA2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1.080,00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5CA2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1.080,00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5CA2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CA2" w:rsidRPr="0089395C" w:rsidRDefault="00265CA2" w:rsidP="008939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r-HR"/>
              </w:rPr>
            </w:pPr>
          </w:p>
        </w:tc>
      </w:tr>
      <w:tr w:rsidR="00265CA2" w:rsidRPr="0089395C" w:rsidTr="00265CA2">
        <w:trPr>
          <w:gridAfter w:val="16"/>
          <w:wAfter w:w="15522" w:type="dxa"/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89395C" w:rsidRDefault="00265CA2" w:rsidP="0089395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Program:</w:t>
            </w:r>
            <w:r w:rsidRPr="008939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4306 Nacionalni EU projekti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31.187,06</w:t>
            </w:r>
            <w:r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EF11D4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31.631,20</w:t>
            </w:r>
            <w:r w:rsidR="00265CA2"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89395C" w:rsidRDefault="00EF11D4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101,42</w:t>
            </w:r>
            <w:r w:rsidR="00265CA2" w:rsidRPr="00DF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65CA2" w:rsidRPr="0089395C" w:rsidTr="00265CA2">
        <w:trPr>
          <w:gridAfter w:val="16"/>
          <w:wAfter w:w="15522" w:type="dxa"/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CA2" w:rsidRPr="00DF7616" w:rsidRDefault="00265CA2" w:rsidP="00893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T4306-03 </w:t>
            </w:r>
            <w:proofErr w:type="spellStart"/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Inkluzija</w:t>
            </w:r>
            <w:proofErr w:type="spellEnd"/>
            <w:r w:rsidRPr="0089395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-korak bliže društvu bez prepreka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faza V.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265CA2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31.187,06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EF11D4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31.631,20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CA2" w:rsidRPr="00DF7616" w:rsidRDefault="00EF11D4" w:rsidP="005643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101,42</w:t>
            </w:r>
          </w:p>
        </w:tc>
      </w:tr>
    </w:tbl>
    <w:p w:rsidR="00423B29" w:rsidRDefault="00423B29" w:rsidP="00994D35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</w:pPr>
    </w:p>
    <w:p w:rsidR="00DF7616" w:rsidRDefault="00423B29" w:rsidP="00994D35">
      <w:pPr>
        <w:spacing w:line="360" w:lineRule="auto"/>
        <w:jc w:val="both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Program: 2204 SREDNJE ŠKOLSTVO- </w:t>
      </w:r>
      <w:r w:rsidRPr="00DF7616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STANDARD</w:t>
      </w:r>
    </w:p>
    <w:p w:rsidR="00423B29" w:rsidRDefault="009C777A" w:rsidP="00994D35">
      <w:pPr>
        <w:spacing w:line="360" w:lineRule="auto"/>
        <w:jc w:val="both"/>
      </w:pPr>
      <w:r>
        <w:t xml:space="preserve">Redovna djelatnost financira se iz sredstava primljenih od </w:t>
      </w:r>
      <w:r w:rsidR="00423B29">
        <w:t>Zadarske</w:t>
      </w:r>
      <w:r>
        <w:t xml:space="preserve"> županije, sredstva ovise o broju učenika i razrednih odjeljenja, također o stvarnoj potrošnji za energente , naknade prijevoza zaposlenika, zdravstvenih pregleda </w:t>
      </w:r>
      <w:r w:rsidR="00423B29">
        <w:t>itd</w:t>
      </w:r>
      <w:r>
        <w:t xml:space="preserve">. Sredstva se koriste za podmirenje materijalnih rashoda za svakodnevno neometano održavanje nastave. </w:t>
      </w:r>
    </w:p>
    <w:p w:rsidR="00423B29" w:rsidRDefault="009C777A" w:rsidP="00994D35">
      <w:pPr>
        <w:spacing w:line="360" w:lineRule="auto"/>
        <w:jc w:val="both"/>
      </w:pPr>
      <w:r>
        <w:t xml:space="preserve">Opći ciljevi: Redovito podmirivanje svih troškova za što kvalitetnije i uspješnije odvijanje nastavnog procesa. </w:t>
      </w:r>
    </w:p>
    <w:p w:rsidR="00423B29" w:rsidRDefault="009C777A" w:rsidP="00994D35">
      <w:pPr>
        <w:spacing w:line="360" w:lineRule="auto"/>
        <w:jc w:val="both"/>
      </w:pPr>
      <w:r>
        <w:t xml:space="preserve">Posebni ciljevi: Uspješno i kvalitetno odvijanje nastave uz zadovoljenje svih potrebnih zahtjeva učenika i djelatnika. </w:t>
      </w:r>
    </w:p>
    <w:p w:rsidR="009C777A" w:rsidRDefault="009C777A" w:rsidP="00994D35">
      <w:pPr>
        <w:spacing w:line="360" w:lineRule="auto"/>
        <w:jc w:val="both"/>
      </w:pPr>
      <w:r>
        <w:t>OSTVARENI CILJEVI PROGRAMA: Sve obveze škola je podmirila pravovremeno.</w:t>
      </w:r>
    </w:p>
    <w:p w:rsidR="00423B29" w:rsidRDefault="00423B29" w:rsidP="00994D35">
      <w:pPr>
        <w:spacing w:line="360" w:lineRule="auto"/>
        <w:jc w:val="both"/>
      </w:pPr>
      <w:r>
        <w:t xml:space="preserve">Aktivnost </w:t>
      </w:r>
      <w:r w:rsidRPr="0089395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A2204-07 Administracija i upravljanje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 xml:space="preserve"> </w:t>
      </w:r>
      <w:r>
        <w:t xml:space="preserve">obuhvaća isplate plaća, materijalnih prava i ostalih naknada zaposlenima u školi, izvor financiranja je Ministarstvo znanosti i obrazovanja. </w:t>
      </w:r>
    </w:p>
    <w:p w:rsidR="00423B29" w:rsidRDefault="00423B29" w:rsidP="00994D35">
      <w:pPr>
        <w:spacing w:line="360" w:lineRule="auto"/>
        <w:jc w:val="both"/>
      </w:pPr>
      <w:r>
        <w:t xml:space="preserve">Opći ciljevi: Podmirivanje obveza prema zaposlenicima, isplata plaća, materijalnih prava i drugih naknada. </w:t>
      </w:r>
    </w:p>
    <w:p w:rsidR="00423B29" w:rsidRDefault="00423B29" w:rsidP="00994D35">
      <w:pPr>
        <w:spacing w:line="360" w:lineRule="auto"/>
        <w:jc w:val="both"/>
      </w:pPr>
      <w:r>
        <w:t xml:space="preserve">Posebni ciljevi: Izvršavanje obveza i poštivanje prava zaposlenika prema temeljnom kolektivnom ugovoru. </w:t>
      </w:r>
    </w:p>
    <w:p w:rsidR="00423B29" w:rsidRDefault="009C7035" w:rsidP="00994D35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Program: 2205</w:t>
      </w:r>
      <w:r w:rsidR="00423B29" w:rsidRPr="00DF7616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SREDNJE ŠKOLSTVO</w:t>
      </w:r>
      <w:r w:rsidR="00423B29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- IZNAD STANDARDA</w:t>
      </w:r>
    </w:p>
    <w:p w:rsidR="00483482" w:rsidRPr="00B4156E" w:rsidRDefault="00423B29" w:rsidP="00B4156E">
      <w:pPr>
        <w:spacing w:line="360" w:lineRule="auto"/>
        <w:jc w:val="both"/>
      </w:pPr>
      <w:r w:rsidRPr="009C7035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>Program 220</w:t>
      </w:r>
      <w:r w:rsidR="009C7035" w:rsidRPr="009C7035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>5</w:t>
      </w:r>
      <w:r w:rsidR="009C7035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9C7035">
        <w:t>financira se iz sredstava primljenih od Zadarske županije, iz sredstava primljenih od Državnog proračuna, pomoći iz inozemstva  i od viška prihoda.</w:t>
      </w:r>
      <w:r w:rsidR="00625B9C" w:rsidRPr="00625B9C">
        <w:t xml:space="preserve"> </w:t>
      </w:r>
      <w:r w:rsidR="00625B9C">
        <w:t>Program obuhvaća financiranje širih javnih potreba u školstvu.</w:t>
      </w:r>
    </w:p>
    <w:p w:rsidR="00483482" w:rsidRDefault="00483482" w:rsidP="00994D35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</w:pPr>
      <w:r w:rsidRPr="00DF7616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Program:</w:t>
      </w:r>
      <w:r w:rsidRPr="0089395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4306 Nacionalni EU projekti</w:t>
      </w:r>
    </w:p>
    <w:p w:rsidR="00483482" w:rsidRPr="00EF11D4" w:rsidRDefault="00483482" w:rsidP="00994D35">
      <w:pPr>
        <w:spacing w:line="360" w:lineRule="auto"/>
        <w:jc w:val="both"/>
        <w:rPr>
          <w:rFonts w:eastAsia="Times New Roman" w:cstheme="minorHAnsi"/>
          <w:bCs/>
          <w:color w:val="000000"/>
          <w:lang w:eastAsia="hr-HR"/>
        </w:rPr>
      </w:pPr>
      <w:r w:rsidRPr="00EF11D4">
        <w:rPr>
          <w:rFonts w:eastAsia="Times New Roman" w:cstheme="minorHAnsi"/>
          <w:bCs/>
          <w:color w:val="000000"/>
          <w:lang w:eastAsia="hr-HR"/>
        </w:rPr>
        <w:t>Program 4306 odnosi se na financiranje Inkluzije, tj. za obveze prema pomoćnicima u nastavi. Program je financiran od strane Zadarske županije, državnog proračuna i pomoći iz inozemstva.</w:t>
      </w:r>
    </w:p>
    <w:p w:rsidR="005643B7" w:rsidRDefault="00483482" w:rsidP="005643B7">
      <w:pPr>
        <w:spacing w:line="360" w:lineRule="auto"/>
        <w:jc w:val="both"/>
      </w:pPr>
      <w:r>
        <w:t>Opći ciljevi: Uključivanje ili inkluzija je zahtjev koji je koncepcijski nazvan odgoj i obrazovanje za sve. Pod njim se podrazumijeva uključenost sve djece i mladih na sve razine formalnog odgojno-obrazovnog sustava.</w:t>
      </w:r>
      <w:r w:rsidRPr="00483482">
        <w:t xml:space="preserve"> </w:t>
      </w:r>
      <w:r>
        <w:t>Inkluzivno obrazovanje je koncept koji proširuje i produbljuje odgojni model integracije djece s teškoćama u razvoju u redovno školovanje.</w:t>
      </w:r>
      <w:r w:rsidR="005643B7" w:rsidRPr="005643B7">
        <w:t xml:space="preserve"> </w:t>
      </w:r>
    </w:p>
    <w:p w:rsidR="005643B7" w:rsidRDefault="005643B7" w:rsidP="005643B7">
      <w:pPr>
        <w:spacing w:line="360" w:lineRule="auto"/>
        <w:jc w:val="both"/>
      </w:pPr>
      <w:r>
        <w:t xml:space="preserve">Podmirivanje obveza prema zaposlenicima, isplata plaća, materijalnih prava i drugih naknada. </w:t>
      </w:r>
    </w:p>
    <w:p w:rsidR="005643B7" w:rsidRDefault="005643B7" w:rsidP="005643B7">
      <w:pPr>
        <w:spacing w:line="360" w:lineRule="auto"/>
        <w:jc w:val="both"/>
      </w:pPr>
      <w:r>
        <w:t xml:space="preserve">Posebni ciljevi: Izvršavanje obveza i poštivanje prava pomoćnika u nastavi. </w:t>
      </w:r>
    </w:p>
    <w:p w:rsidR="00EF11D4" w:rsidRDefault="00EF11D4" w:rsidP="005643B7">
      <w:pPr>
        <w:spacing w:line="360" w:lineRule="auto"/>
        <w:jc w:val="both"/>
      </w:pPr>
    </w:p>
    <w:p w:rsidR="00EF11D4" w:rsidRDefault="00EF11D4" w:rsidP="005643B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EF11D4" w:rsidRDefault="00EF11D4" w:rsidP="005643B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Marjana Bakmaz, prof.</w:t>
      </w:r>
    </w:p>
    <w:p w:rsidR="00483482" w:rsidRDefault="00483482" w:rsidP="00483482">
      <w:pPr>
        <w:spacing w:line="360" w:lineRule="auto"/>
        <w:jc w:val="both"/>
      </w:pPr>
    </w:p>
    <w:p w:rsidR="00483482" w:rsidRDefault="00483482" w:rsidP="00994D35">
      <w:pPr>
        <w:spacing w:line="360" w:lineRule="auto"/>
        <w:jc w:val="both"/>
      </w:pPr>
    </w:p>
    <w:sectPr w:rsidR="00483482" w:rsidSect="0004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7F31"/>
    <w:multiLevelType w:val="multilevel"/>
    <w:tmpl w:val="FDE4B80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43"/>
    <w:rsid w:val="000435DC"/>
    <w:rsid w:val="00063C91"/>
    <w:rsid w:val="00150981"/>
    <w:rsid w:val="00265CA2"/>
    <w:rsid w:val="00336E59"/>
    <w:rsid w:val="00423B29"/>
    <w:rsid w:val="00471B2B"/>
    <w:rsid w:val="00483482"/>
    <w:rsid w:val="00542128"/>
    <w:rsid w:val="005643B7"/>
    <w:rsid w:val="006158DD"/>
    <w:rsid w:val="00625B9C"/>
    <w:rsid w:val="00684023"/>
    <w:rsid w:val="006A2189"/>
    <w:rsid w:val="00783043"/>
    <w:rsid w:val="00795F0F"/>
    <w:rsid w:val="007C6B78"/>
    <w:rsid w:val="00823AE6"/>
    <w:rsid w:val="0089395C"/>
    <w:rsid w:val="008A3677"/>
    <w:rsid w:val="00976114"/>
    <w:rsid w:val="00994D35"/>
    <w:rsid w:val="009C7035"/>
    <w:rsid w:val="009C777A"/>
    <w:rsid w:val="00AC50EC"/>
    <w:rsid w:val="00AD3DC1"/>
    <w:rsid w:val="00B03D57"/>
    <w:rsid w:val="00B4156E"/>
    <w:rsid w:val="00C9452E"/>
    <w:rsid w:val="00DB550B"/>
    <w:rsid w:val="00DF7616"/>
    <w:rsid w:val="00E11BE8"/>
    <w:rsid w:val="00E336E7"/>
    <w:rsid w:val="00E562E1"/>
    <w:rsid w:val="00E95758"/>
    <w:rsid w:val="00EB59B2"/>
    <w:rsid w:val="00EF11D4"/>
    <w:rsid w:val="00EF3C3A"/>
    <w:rsid w:val="00F40EC8"/>
    <w:rsid w:val="00F510A9"/>
    <w:rsid w:val="00FA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AE35"/>
  <w15:docId w15:val="{ABE16CE5-5B14-462F-8823-0C338230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5DC"/>
  </w:style>
  <w:style w:type="paragraph" w:styleId="Naslov1">
    <w:name w:val="heading 1"/>
    <w:basedOn w:val="Normal"/>
    <w:next w:val="Normal"/>
    <w:link w:val="Naslov1Char"/>
    <w:uiPriority w:val="9"/>
    <w:qFormat/>
    <w:rsid w:val="00795F0F"/>
    <w:pPr>
      <w:keepNext/>
      <w:keepLines/>
      <w:numPr>
        <w:numId w:val="1"/>
      </w:numPr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5F0F"/>
    <w:pPr>
      <w:keepNext/>
      <w:keepLines/>
      <w:numPr>
        <w:ilvl w:val="1"/>
        <w:numId w:val="1"/>
      </w:numPr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5F0F"/>
    <w:pPr>
      <w:keepNext/>
      <w:keepLines/>
      <w:numPr>
        <w:ilvl w:val="2"/>
        <w:numId w:val="1"/>
      </w:numPr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5F0F"/>
    <w:pPr>
      <w:keepNext/>
      <w:keepLines/>
      <w:numPr>
        <w:ilvl w:val="3"/>
        <w:numId w:val="1"/>
      </w:numPr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5F0F"/>
    <w:pPr>
      <w:keepNext/>
      <w:keepLines/>
      <w:numPr>
        <w:ilvl w:val="4"/>
        <w:numId w:val="1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E74B5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5F0F"/>
    <w:pPr>
      <w:keepNext/>
      <w:keepLines/>
      <w:numPr>
        <w:ilvl w:val="5"/>
        <w:numId w:val="1"/>
      </w:numPr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4D78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5F0F"/>
    <w:pPr>
      <w:keepNext/>
      <w:keepLines/>
      <w:numPr>
        <w:ilvl w:val="6"/>
        <w:numId w:val="1"/>
      </w:numPr>
      <w:spacing w:before="40" w:after="0" w:line="256" w:lineRule="auto"/>
      <w:outlineLvl w:val="6"/>
    </w:pPr>
    <w:rPr>
      <w:rFonts w:asciiTheme="majorHAnsi" w:eastAsiaTheme="majorEastAsia" w:hAnsiTheme="majorHAnsi" w:cstheme="majorBidi"/>
      <w:i/>
      <w:iCs/>
      <w:color w:val="1F4D78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5F0F"/>
    <w:pPr>
      <w:keepNext/>
      <w:keepLines/>
      <w:numPr>
        <w:ilvl w:val="7"/>
        <w:numId w:val="1"/>
      </w:numPr>
      <w:spacing w:before="40" w:after="0" w:line="256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5F0F"/>
    <w:pPr>
      <w:keepNext/>
      <w:keepLines/>
      <w:numPr>
        <w:ilvl w:val="8"/>
        <w:numId w:val="1"/>
      </w:numPr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5F0F"/>
    <w:rPr>
      <w:rFonts w:asciiTheme="majorHAnsi" w:eastAsiaTheme="majorEastAsia" w:hAnsiTheme="majorHAnsi" w:cstheme="majorBidi"/>
      <w:color w:val="2E74B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5F0F"/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5F0F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5F0F"/>
    <w:rPr>
      <w:rFonts w:asciiTheme="majorHAnsi" w:eastAsiaTheme="majorEastAsia" w:hAnsiTheme="majorHAnsi" w:cstheme="majorBidi"/>
      <w:i/>
      <w:iCs/>
      <w:color w:val="2E74B5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5F0F"/>
    <w:rPr>
      <w:rFonts w:asciiTheme="majorHAnsi" w:eastAsiaTheme="majorEastAsia" w:hAnsiTheme="majorHAnsi" w:cstheme="majorBidi"/>
      <w:color w:val="2E74B5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5F0F"/>
    <w:rPr>
      <w:rFonts w:asciiTheme="majorHAnsi" w:eastAsiaTheme="majorEastAsia" w:hAnsiTheme="majorHAnsi" w:cstheme="majorBidi"/>
      <w:color w:val="1F4D78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5F0F"/>
    <w:rPr>
      <w:rFonts w:asciiTheme="majorHAnsi" w:eastAsiaTheme="majorEastAsia" w:hAnsiTheme="majorHAnsi" w:cstheme="majorBidi"/>
      <w:i/>
      <w:iCs/>
      <w:color w:val="1F4D78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5F0F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5F0F"/>
    <w:rPr>
      <w:rFonts w:asciiTheme="majorHAnsi" w:eastAsiaTheme="majorEastAsia" w:hAnsiTheme="majorHAnsi" w:cstheme="majorBidi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</cp:lastModifiedBy>
  <cp:revision>10</cp:revision>
  <dcterms:created xsi:type="dcterms:W3CDTF">2026-03-18T10:08:00Z</dcterms:created>
  <dcterms:modified xsi:type="dcterms:W3CDTF">2026-03-20T08:05:00Z</dcterms:modified>
</cp:coreProperties>
</file>