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D35" w:rsidRDefault="00783043" w:rsidP="00994D35">
      <w:pPr>
        <w:jc w:val="center"/>
        <w:rPr>
          <w:b/>
        </w:rPr>
      </w:pPr>
      <w:r w:rsidRPr="00994D35">
        <w:rPr>
          <w:b/>
        </w:rPr>
        <w:t xml:space="preserve">Obrazloženje uz izvještaj o izvršenju Financijskog plana </w:t>
      </w:r>
    </w:p>
    <w:p w:rsidR="000435DC" w:rsidRPr="00994D35" w:rsidRDefault="00783043" w:rsidP="00994D35">
      <w:pPr>
        <w:jc w:val="center"/>
        <w:rPr>
          <w:b/>
        </w:rPr>
      </w:pPr>
      <w:r w:rsidRPr="00994D35">
        <w:rPr>
          <w:b/>
        </w:rPr>
        <w:t>Škole primijenjene umjetnosti i dizajna</w:t>
      </w:r>
      <w:r w:rsidR="00994D35">
        <w:rPr>
          <w:b/>
        </w:rPr>
        <w:t>, Zadar</w:t>
      </w:r>
      <w:r w:rsidRPr="00994D35">
        <w:rPr>
          <w:b/>
        </w:rPr>
        <w:t xml:space="preserve"> za 202</w:t>
      </w:r>
      <w:r w:rsidR="006A3F33">
        <w:rPr>
          <w:b/>
        </w:rPr>
        <w:t>3</w:t>
      </w:r>
      <w:r w:rsidRPr="00994D35">
        <w:rPr>
          <w:b/>
        </w:rPr>
        <w:t>. godinu</w:t>
      </w:r>
    </w:p>
    <w:p w:rsidR="00994D35" w:rsidRDefault="00994D35" w:rsidP="00783043">
      <w:pPr>
        <w:jc w:val="center"/>
      </w:pPr>
    </w:p>
    <w:p w:rsidR="00B03D57" w:rsidRPr="00652662" w:rsidRDefault="00783043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 xml:space="preserve">Prema Zakonu o proračunu (NN 144/21) utvrđena je obveza izrade Godišnjeg izvještaja o izvršenju financijskog plana proračunskog korisnika za proteklu godinu te dostave upravljačkom tijelu na usvajanje, najkasnije do 31. ožujka tekuće godine. </w:t>
      </w:r>
      <w:r w:rsidR="00B03D57" w:rsidRPr="00652662">
        <w:rPr>
          <w:rFonts w:cstheme="minorHAnsi"/>
        </w:rPr>
        <w:t>Tijekom 202</w:t>
      </w:r>
      <w:r w:rsidR="006A3F33" w:rsidRPr="00652662">
        <w:rPr>
          <w:rFonts w:cstheme="minorHAnsi"/>
        </w:rPr>
        <w:t>3</w:t>
      </w:r>
      <w:r w:rsidR="00B03D57" w:rsidRPr="00652662">
        <w:rPr>
          <w:rFonts w:cstheme="minorHAnsi"/>
        </w:rPr>
        <w:t>. godine financiranje javnih rashoda izvršeno je na osnovi sljedećih financijsko planskih dokumenata:</w:t>
      </w:r>
    </w:p>
    <w:p w:rsidR="00B03D57" w:rsidRPr="00652662" w:rsidRDefault="00B03D57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 xml:space="preserve">- </w:t>
      </w:r>
      <w:r w:rsidRPr="00652662">
        <w:rPr>
          <w:rFonts w:cstheme="minorHAnsi"/>
          <w:i/>
        </w:rPr>
        <w:t>Financijskog plana za 202</w:t>
      </w:r>
      <w:r w:rsidR="006A3F33" w:rsidRPr="00652662">
        <w:rPr>
          <w:rFonts w:cstheme="minorHAnsi"/>
          <w:i/>
        </w:rPr>
        <w:t>3</w:t>
      </w:r>
      <w:r w:rsidRPr="00652662">
        <w:rPr>
          <w:rFonts w:cstheme="minorHAnsi"/>
          <w:i/>
        </w:rPr>
        <w:t>. godinu s projekcijama za 20</w:t>
      </w:r>
      <w:r w:rsidR="006A3F33" w:rsidRPr="00652662">
        <w:rPr>
          <w:rFonts w:cstheme="minorHAnsi"/>
          <w:i/>
        </w:rPr>
        <w:t>24</w:t>
      </w:r>
      <w:r w:rsidRPr="00652662">
        <w:rPr>
          <w:rFonts w:cstheme="minorHAnsi"/>
          <w:i/>
        </w:rPr>
        <w:t xml:space="preserve">. i </w:t>
      </w:r>
      <w:r w:rsidR="006A3F33" w:rsidRPr="00652662">
        <w:rPr>
          <w:rFonts w:cstheme="minorHAnsi"/>
          <w:i/>
        </w:rPr>
        <w:t>2025.</w:t>
      </w:r>
      <w:r w:rsidRPr="00652662">
        <w:rPr>
          <w:rFonts w:cstheme="minorHAnsi"/>
          <w:i/>
        </w:rPr>
        <w:t xml:space="preserve"> godinu</w:t>
      </w:r>
    </w:p>
    <w:p w:rsidR="00B03D57" w:rsidRPr="00652662" w:rsidRDefault="00B03D57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 xml:space="preserve">- </w:t>
      </w:r>
      <w:r w:rsidRPr="00652662">
        <w:rPr>
          <w:rFonts w:cstheme="minorHAnsi"/>
          <w:i/>
        </w:rPr>
        <w:t>Izmjena i dopuna Financijskog plana za 202</w:t>
      </w:r>
      <w:r w:rsidR="006A3F33" w:rsidRPr="00652662">
        <w:rPr>
          <w:rFonts w:cstheme="minorHAnsi"/>
          <w:i/>
        </w:rPr>
        <w:t>3</w:t>
      </w:r>
      <w:r w:rsidRPr="00652662">
        <w:rPr>
          <w:rFonts w:cstheme="minorHAnsi"/>
          <w:i/>
        </w:rPr>
        <w:t>. godinu</w:t>
      </w:r>
    </w:p>
    <w:p w:rsidR="006A2189" w:rsidRPr="00652662" w:rsidRDefault="006A2189" w:rsidP="00994D35">
      <w:pPr>
        <w:spacing w:line="360" w:lineRule="auto"/>
        <w:jc w:val="both"/>
        <w:rPr>
          <w:rFonts w:cstheme="minorHAnsi"/>
          <w:b/>
        </w:rPr>
      </w:pPr>
      <w:r w:rsidRPr="00652662">
        <w:rPr>
          <w:rFonts w:cstheme="minorHAnsi"/>
          <w:b/>
        </w:rPr>
        <w:t>SAŽETAK DJELOKRUGA RADA</w:t>
      </w:r>
    </w:p>
    <w:p w:rsidR="006A2189" w:rsidRPr="00652662" w:rsidRDefault="006A2189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>Škola primijenjene umjetnosti i dizajna obrazuje učenike u području likovne umjetnosti i dizajna i u području odjeće i tekstila. Nastava je organizirana u jutarnjoj i popodnevnoj smjeni u petodnevnom radnom tjednu ( subote po potrebi).</w:t>
      </w:r>
    </w:p>
    <w:p w:rsidR="006A2189" w:rsidRPr="00652662" w:rsidRDefault="006A2189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>U području likovne umjetnosti i dizajna učenici se mogu obrazovati u 6 različitih smjerova: grafički dizajn, slikarski dizajn, dizajn odjeće, fotografski dizajn, aranžersko – scenografski dizajn i dizajn tekstila a u području odjeće i tekstila i šivač odjeće. Osim redovne nastave učenici i profesori sudjeluju u brojnim vannastavnim aktivnostima uključujući se u vanjske (županijske, gradske, državne) manifestacije, izložbe, razna kulturna i umjetnička događanja.</w:t>
      </w:r>
    </w:p>
    <w:p w:rsidR="006A2189" w:rsidRPr="00652662" w:rsidRDefault="006A2189" w:rsidP="00994D35">
      <w:pPr>
        <w:spacing w:line="360" w:lineRule="auto"/>
        <w:jc w:val="both"/>
        <w:rPr>
          <w:rFonts w:cstheme="minorHAnsi"/>
          <w:b/>
        </w:rPr>
      </w:pPr>
      <w:r w:rsidRPr="00652662">
        <w:rPr>
          <w:rFonts w:cstheme="minorHAnsi"/>
          <w:b/>
        </w:rPr>
        <w:t>OBRAZLOŽENJE OPĆEG DIJELA IZVJEŠTAJA:</w:t>
      </w:r>
    </w:p>
    <w:p w:rsidR="00471B2B" w:rsidRPr="00652662" w:rsidRDefault="006A2189" w:rsidP="00994D35">
      <w:pPr>
        <w:spacing w:line="360" w:lineRule="auto"/>
        <w:jc w:val="both"/>
        <w:rPr>
          <w:rFonts w:cstheme="minorHAnsi"/>
          <w:i/>
        </w:rPr>
      </w:pPr>
      <w:r w:rsidRPr="00652662">
        <w:rPr>
          <w:rFonts w:cstheme="minorHAnsi"/>
        </w:rPr>
        <w:t>Financijski plan Škole primijenjene umjetnosti i dizajna  za 202</w:t>
      </w:r>
      <w:r w:rsidR="009B53F4" w:rsidRPr="00652662">
        <w:rPr>
          <w:rFonts w:cstheme="minorHAnsi"/>
        </w:rPr>
        <w:t>3</w:t>
      </w:r>
      <w:r w:rsidRPr="00652662">
        <w:rPr>
          <w:rFonts w:cstheme="minorHAnsi"/>
        </w:rPr>
        <w:t xml:space="preserve">. godinu donesen je na sjednici Školskog odbora dana </w:t>
      </w:r>
      <w:r w:rsidR="009B53F4" w:rsidRPr="00652662">
        <w:rPr>
          <w:rFonts w:cstheme="minorHAnsi"/>
        </w:rPr>
        <w:t xml:space="preserve">14. listopada </w:t>
      </w:r>
      <w:r w:rsidRPr="00652662">
        <w:rPr>
          <w:rFonts w:cstheme="minorHAnsi"/>
        </w:rPr>
        <w:t>202</w:t>
      </w:r>
      <w:r w:rsidR="009B53F4" w:rsidRPr="00652662">
        <w:rPr>
          <w:rFonts w:cstheme="minorHAnsi"/>
        </w:rPr>
        <w:t>2</w:t>
      </w:r>
      <w:r w:rsidRPr="00652662">
        <w:rPr>
          <w:rFonts w:cstheme="minorHAnsi"/>
        </w:rPr>
        <w:t>. godine. Prve izmjene i dopune Financijskog plana Škole primijenjene umjetnosti i dizajna za 202</w:t>
      </w:r>
      <w:r w:rsidR="009B53F4" w:rsidRPr="00652662">
        <w:rPr>
          <w:rFonts w:cstheme="minorHAnsi"/>
        </w:rPr>
        <w:t>3</w:t>
      </w:r>
      <w:r w:rsidRPr="00652662">
        <w:rPr>
          <w:rFonts w:cstheme="minorHAnsi"/>
        </w:rPr>
        <w:t xml:space="preserve">. godinu donesene su na sjednici Školskog odbora dana </w:t>
      </w:r>
      <w:r w:rsidR="009B53F4" w:rsidRPr="00652662">
        <w:rPr>
          <w:rFonts w:cstheme="minorHAnsi"/>
        </w:rPr>
        <w:t>12. svibnja 2023</w:t>
      </w:r>
      <w:r w:rsidR="00542128" w:rsidRPr="00652662">
        <w:rPr>
          <w:rFonts w:cstheme="minorHAnsi"/>
        </w:rPr>
        <w:t>.</w:t>
      </w:r>
      <w:r w:rsidRPr="00652662">
        <w:rPr>
          <w:rFonts w:cstheme="minorHAnsi"/>
          <w:i/>
        </w:rPr>
        <w:t xml:space="preserve"> godine. </w:t>
      </w:r>
    </w:p>
    <w:tbl>
      <w:tblPr>
        <w:tblW w:w="9685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2829"/>
        <w:gridCol w:w="1559"/>
        <w:gridCol w:w="1559"/>
        <w:gridCol w:w="612"/>
        <w:gridCol w:w="1514"/>
        <w:gridCol w:w="1612"/>
      </w:tblGrid>
      <w:tr w:rsidR="00471B2B" w:rsidRPr="00652662" w:rsidTr="00976114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2B" w:rsidRPr="00652662" w:rsidRDefault="00994D35" w:rsidP="00DF7616">
            <w:pPr>
              <w:spacing w:after="0" w:line="360" w:lineRule="auto"/>
              <w:ind w:firstLineChars="100" w:firstLine="180"/>
              <w:jc w:val="both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hr-HR"/>
              </w:rPr>
              <w:t xml:space="preserve">RAČUN PRIHODA I </w:t>
            </w:r>
            <w:r w:rsidR="00471B2B" w:rsidRPr="00652662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hr-HR"/>
              </w:rPr>
              <w:t>RASHODA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2B" w:rsidRPr="00652662" w:rsidRDefault="00471B2B" w:rsidP="00994D35">
            <w:pPr>
              <w:spacing w:after="0" w:line="360" w:lineRule="auto"/>
              <w:ind w:firstLineChars="100" w:firstLine="220"/>
              <w:jc w:val="both"/>
              <w:rPr>
                <w:rFonts w:eastAsia="Times New Roman" w:cstheme="minorHAnsi"/>
                <w:i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2B" w:rsidRPr="00652662" w:rsidRDefault="00471B2B" w:rsidP="00994D35">
            <w:pPr>
              <w:spacing w:after="0" w:line="360" w:lineRule="auto"/>
              <w:ind w:firstLineChars="100" w:firstLine="220"/>
              <w:jc w:val="both"/>
              <w:rPr>
                <w:rFonts w:eastAsia="Times New Roman" w:cstheme="minorHAnsi"/>
                <w:i/>
                <w:color w:val="000000"/>
                <w:lang w:eastAsia="hr-H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2B" w:rsidRPr="00652662" w:rsidRDefault="00471B2B" w:rsidP="00994D35">
            <w:pPr>
              <w:spacing w:after="0" w:line="360" w:lineRule="auto"/>
              <w:ind w:firstLineChars="100" w:firstLine="220"/>
              <w:jc w:val="both"/>
              <w:rPr>
                <w:rFonts w:eastAsia="Times New Roman" w:cstheme="minorHAnsi"/>
                <w:i/>
                <w:color w:val="000000"/>
                <w:lang w:eastAsia="hr-HR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2B" w:rsidRPr="00652662" w:rsidRDefault="00471B2B" w:rsidP="00994D35">
            <w:pPr>
              <w:spacing w:after="0" w:line="360" w:lineRule="auto"/>
              <w:ind w:firstLineChars="100" w:firstLine="220"/>
              <w:jc w:val="both"/>
              <w:rPr>
                <w:rFonts w:eastAsia="Times New Roman" w:cstheme="minorHAnsi"/>
                <w:i/>
                <w:color w:val="000000"/>
                <w:lang w:eastAsia="hr-HR"/>
              </w:rPr>
            </w:pPr>
          </w:p>
        </w:tc>
      </w:tr>
      <w:tr w:rsidR="00471B2B" w:rsidRPr="00652662" w:rsidTr="00976114">
        <w:trPr>
          <w:gridAfter w:val="1"/>
          <w:wAfter w:w="1612" w:type="dxa"/>
          <w:trHeight w:val="662"/>
        </w:trPr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I RASHODI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Ostvarenje/   Izvršenje 20</w:t>
            </w:r>
            <w:r w:rsidR="00314253"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Tekući plan 20</w:t>
            </w:r>
            <w:r w:rsidR="00314253"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Ostvarenje/Izvršenje 20</w:t>
            </w:r>
            <w:r w:rsidR="00314253"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471B2B" w:rsidRPr="00652662" w:rsidTr="00976114">
        <w:trPr>
          <w:gridAfter w:val="1"/>
          <w:wAfter w:w="1612" w:type="dxa"/>
          <w:trHeight w:val="24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2B" w:rsidRPr="00652662" w:rsidRDefault="009B53F4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471B2B" w:rsidRPr="00652662" w:rsidTr="00976114">
        <w:trPr>
          <w:gridAfter w:val="1"/>
          <w:wAfter w:w="1612" w:type="dxa"/>
          <w:trHeight w:val="24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314253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1.171.808,35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314253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1.402.666.01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314253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1.436.333,94</w:t>
            </w:r>
          </w:p>
        </w:tc>
      </w:tr>
      <w:tr w:rsidR="00471B2B" w:rsidRPr="00652662" w:rsidTr="00976114">
        <w:trPr>
          <w:gridAfter w:val="1"/>
          <w:wAfter w:w="1612" w:type="dxa"/>
          <w:trHeight w:val="48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71B2B" w:rsidRPr="00652662" w:rsidTr="00976114">
        <w:trPr>
          <w:gridAfter w:val="1"/>
          <w:wAfter w:w="1612" w:type="dxa"/>
          <w:trHeight w:val="24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PRIHODI 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314253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1.171.808,35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314253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1.402.666,01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314253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1.436.333,94</w:t>
            </w:r>
          </w:p>
        </w:tc>
      </w:tr>
      <w:tr w:rsidR="00471B2B" w:rsidRPr="00652662" w:rsidTr="00976114">
        <w:trPr>
          <w:gridAfter w:val="1"/>
          <w:wAfter w:w="1612" w:type="dxa"/>
          <w:trHeight w:val="3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3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314253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1.137.511,98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314253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1.404.296,98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227A5A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1.436.329,69</w:t>
            </w:r>
          </w:p>
        </w:tc>
      </w:tr>
      <w:tr w:rsidR="00471B2B" w:rsidRPr="00652662" w:rsidTr="00976114">
        <w:trPr>
          <w:gridAfter w:val="1"/>
          <w:wAfter w:w="1612" w:type="dxa"/>
          <w:trHeight w:val="49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227A5A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4.984,35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227A5A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5.948,32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227A5A" w:rsidP="00994D3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5.155,46</w:t>
            </w:r>
          </w:p>
        </w:tc>
      </w:tr>
      <w:tr w:rsidR="00471B2B" w:rsidRPr="00652662" w:rsidTr="00976114">
        <w:trPr>
          <w:gridAfter w:val="1"/>
          <w:wAfter w:w="1612" w:type="dxa"/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RASHODI UKUPNO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227A5A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1.142.493,33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227A5A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1.410.245,30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B2B" w:rsidRPr="00652662" w:rsidRDefault="00227A5A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1.441.485,15</w:t>
            </w:r>
          </w:p>
        </w:tc>
      </w:tr>
      <w:tr w:rsidR="00471B2B" w:rsidRPr="00652662" w:rsidTr="00227A5A">
        <w:trPr>
          <w:gridAfter w:val="1"/>
          <w:wAfter w:w="1612" w:type="dxa"/>
          <w:trHeight w:val="255"/>
        </w:trPr>
        <w:tc>
          <w:tcPr>
            <w:tcW w:w="2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71B2B" w:rsidRPr="00652662" w:rsidRDefault="00471B2B" w:rsidP="00994D35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227A5A" w:rsidRPr="00652662" w:rsidRDefault="00227A5A" w:rsidP="00227A5A">
      <w:pPr>
        <w:jc w:val="both"/>
        <w:rPr>
          <w:rFonts w:cstheme="minorHAnsi"/>
        </w:rPr>
      </w:pPr>
    </w:p>
    <w:p w:rsidR="00227A5A" w:rsidRPr="00652662" w:rsidRDefault="00227A5A" w:rsidP="00227A5A">
      <w:pPr>
        <w:jc w:val="both"/>
        <w:rPr>
          <w:rFonts w:cstheme="minorHAnsi"/>
        </w:rPr>
      </w:pPr>
      <w:r w:rsidRPr="00652662">
        <w:rPr>
          <w:rFonts w:cstheme="minorHAnsi"/>
        </w:rPr>
        <w:t>Prihodi poslovanja za 2023. godinu planirani su u iznosu od 1.402.666,01 eura, a ostvareni u iznosu od  1.436.333,94 eura što predstavlja izvršenje plana od 102,40 %.</w:t>
      </w:r>
    </w:p>
    <w:p w:rsidR="00B03D57" w:rsidRPr="00652662" w:rsidRDefault="00227A5A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 xml:space="preserve">Ukupni rashodi planirani za 2023. godinu iznosili su 1.410.245,30 eura, a ostvareni su u iznosu od </w:t>
      </w:r>
      <w:r w:rsidR="00C3740B" w:rsidRPr="00652662">
        <w:rPr>
          <w:rFonts w:cstheme="minorHAnsi"/>
        </w:rPr>
        <w:t>1.441.485,15</w:t>
      </w:r>
      <w:r w:rsidR="008406D8" w:rsidRPr="00652662">
        <w:rPr>
          <w:rFonts w:cstheme="minorHAnsi"/>
        </w:rPr>
        <w:t xml:space="preserve"> eura</w:t>
      </w:r>
      <w:r w:rsidRPr="00652662">
        <w:rPr>
          <w:rFonts w:cstheme="minorHAnsi"/>
        </w:rPr>
        <w:t xml:space="preserve">, uz izvršenje plana od </w:t>
      </w:r>
      <w:r w:rsidR="008406D8" w:rsidRPr="00652662">
        <w:rPr>
          <w:rFonts w:cstheme="minorHAnsi"/>
        </w:rPr>
        <w:t>102,22 %</w:t>
      </w:r>
      <w:r w:rsidRPr="00652662">
        <w:rPr>
          <w:rFonts w:cstheme="minorHAnsi"/>
        </w:rPr>
        <w:t>.</w:t>
      </w:r>
    </w:p>
    <w:p w:rsidR="00DF7616" w:rsidRPr="00652662" w:rsidRDefault="00994D35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>Višak prihoda prethodne, 202</w:t>
      </w:r>
      <w:r w:rsidR="008406D8" w:rsidRPr="00652662">
        <w:rPr>
          <w:rFonts w:cstheme="minorHAnsi"/>
        </w:rPr>
        <w:t>2</w:t>
      </w:r>
      <w:r w:rsidRPr="00652662">
        <w:rPr>
          <w:rFonts w:cstheme="minorHAnsi"/>
        </w:rPr>
        <w:t>. godine, koji je prenesen u tekuću, 202</w:t>
      </w:r>
      <w:r w:rsidR="008406D8" w:rsidRPr="00652662">
        <w:rPr>
          <w:rFonts w:cstheme="minorHAnsi"/>
        </w:rPr>
        <w:t>3</w:t>
      </w:r>
      <w:r w:rsidRPr="00652662">
        <w:rPr>
          <w:rFonts w:cstheme="minorHAnsi"/>
        </w:rPr>
        <w:t>. godinu, ostvaren je najvećim dijelom od Ministarstva znanosti i obrazovanja i Agencije za mobilnost i programe EU. Ostvareni višak prihoda u 202</w:t>
      </w:r>
      <w:r w:rsidR="008406D8" w:rsidRPr="00652662">
        <w:rPr>
          <w:rFonts w:cstheme="minorHAnsi"/>
        </w:rPr>
        <w:t>3</w:t>
      </w:r>
      <w:r w:rsidRPr="00652662">
        <w:rPr>
          <w:rFonts w:cstheme="minorHAnsi"/>
        </w:rPr>
        <w:t xml:space="preserve">. godini iznosio je </w:t>
      </w:r>
      <w:r w:rsidR="008406D8" w:rsidRPr="00652662">
        <w:rPr>
          <w:rFonts w:cstheme="minorHAnsi"/>
        </w:rPr>
        <w:t>7.579,29 eura.</w:t>
      </w:r>
      <w:r w:rsidRPr="00652662">
        <w:rPr>
          <w:rFonts w:cstheme="minorHAnsi"/>
        </w:rPr>
        <w:t xml:space="preserve"> Financijski rezultat po Financijskom izvješću za razdoblje siječanj – prosinac 202</w:t>
      </w:r>
      <w:r w:rsidR="008406D8" w:rsidRPr="00652662">
        <w:rPr>
          <w:rFonts w:cstheme="minorHAnsi"/>
        </w:rPr>
        <w:t>3</w:t>
      </w:r>
      <w:r w:rsidRPr="00652662">
        <w:rPr>
          <w:rFonts w:cstheme="minorHAnsi"/>
        </w:rPr>
        <w:t>. godine prenosi se u 2023. godinu i raspoređuje se u skladu s Odlukom o raspodjeli rezultata.</w:t>
      </w:r>
    </w:p>
    <w:p w:rsidR="00DF7616" w:rsidRPr="00652662" w:rsidRDefault="00B03D57" w:rsidP="00994D35">
      <w:pPr>
        <w:spacing w:line="360" w:lineRule="auto"/>
        <w:jc w:val="both"/>
        <w:rPr>
          <w:rFonts w:cstheme="minorHAnsi"/>
          <w:b/>
        </w:rPr>
      </w:pPr>
      <w:r w:rsidRPr="00652662">
        <w:rPr>
          <w:rFonts w:cstheme="minorHAnsi"/>
          <w:b/>
        </w:rPr>
        <w:t>OBRAZLOŽENJE POSEBNOG DIJELA</w:t>
      </w:r>
      <w:r w:rsidR="00483482" w:rsidRPr="00652662">
        <w:rPr>
          <w:rFonts w:cstheme="minorHAnsi"/>
          <w:b/>
        </w:rPr>
        <w:t xml:space="preserve"> IZVJEŠTAJA</w:t>
      </w:r>
    </w:p>
    <w:p w:rsidR="00DF7616" w:rsidRPr="00652662" w:rsidRDefault="00DF7616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>Obzirom na programe</w:t>
      </w:r>
      <w:r w:rsidR="0089395C" w:rsidRPr="00652662">
        <w:rPr>
          <w:rFonts w:cstheme="minorHAnsi"/>
        </w:rPr>
        <w:t>,</w:t>
      </w:r>
      <w:r w:rsidRPr="00652662">
        <w:rPr>
          <w:rFonts w:cstheme="minorHAnsi"/>
        </w:rPr>
        <w:t xml:space="preserve"> izvršenje Financijskog plana Škole primijenjene umjetnosti i dizajna, Zadar je sljedeće:</w:t>
      </w:r>
    </w:p>
    <w:tbl>
      <w:tblPr>
        <w:tblW w:w="237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33"/>
        <w:gridCol w:w="1557"/>
        <w:gridCol w:w="1476"/>
        <w:gridCol w:w="811"/>
        <w:gridCol w:w="7"/>
        <w:gridCol w:w="960"/>
        <w:gridCol w:w="1377"/>
        <w:gridCol w:w="1178"/>
        <w:gridCol w:w="1178"/>
        <w:gridCol w:w="1178"/>
        <w:gridCol w:w="1178"/>
        <w:gridCol w:w="1178"/>
        <w:gridCol w:w="959"/>
        <w:gridCol w:w="959"/>
        <w:gridCol w:w="959"/>
        <w:gridCol w:w="959"/>
        <w:gridCol w:w="959"/>
        <w:gridCol w:w="959"/>
        <w:gridCol w:w="959"/>
        <w:gridCol w:w="960"/>
      </w:tblGrid>
      <w:tr w:rsidR="00A87534" w:rsidRPr="00652662" w:rsidTr="00A87534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534" w:rsidRPr="00652662" w:rsidRDefault="00A87534" w:rsidP="00DF76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Oznaka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534" w:rsidRPr="00652662" w:rsidRDefault="00A87534" w:rsidP="00DF76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Plan 2023.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534" w:rsidRPr="00652662" w:rsidRDefault="00A87534" w:rsidP="00DF76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Ostvarenje 2023.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534" w:rsidRPr="00652662" w:rsidRDefault="00A87534" w:rsidP="00DF76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</w:p>
        </w:tc>
      </w:tr>
      <w:tr w:rsidR="00A87534" w:rsidRPr="00652662" w:rsidTr="00A87534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534" w:rsidRPr="00652662" w:rsidRDefault="00A87534" w:rsidP="00DF76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534" w:rsidRPr="00652662" w:rsidRDefault="00A87534" w:rsidP="00DF76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534" w:rsidRPr="00652662" w:rsidRDefault="00A87534" w:rsidP="00DF76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534" w:rsidRPr="00652662" w:rsidRDefault="00A87534" w:rsidP="00DF76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A87534" w:rsidRPr="00652662" w:rsidTr="00EF3646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534" w:rsidRPr="00652662" w:rsidRDefault="00A87534" w:rsidP="00DF76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Program: 2204 SREDNJE ŠKOLSTVO STANDARD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534" w:rsidRPr="00652662" w:rsidRDefault="00A87534" w:rsidP="005643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534" w:rsidRPr="00652662" w:rsidRDefault="00A87534" w:rsidP="005643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534" w:rsidRPr="00652662" w:rsidRDefault="00A87534" w:rsidP="005643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87534" w:rsidRPr="00652662" w:rsidTr="00A87534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534" w:rsidRPr="00652662" w:rsidRDefault="00A87534" w:rsidP="00DF761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A2204-01 Djelatnost srednjih škola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534" w:rsidRPr="00652662" w:rsidRDefault="00B35142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96</w:t>
            </w:r>
            <w:r w:rsidR="00A776A2"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.956,53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534" w:rsidRPr="00652662" w:rsidRDefault="00A776A2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97.064,12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534" w:rsidRPr="00652662" w:rsidRDefault="00A776A2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A776A2" w:rsidRPr="00652662" w:rsidTr="00EF3646">
        <w:trPr>
          <w:gridAfter w:val="15"/>
          <w:wAfter w:w="15900" w:type="dxa"/>
          <w:trHeight w:val="264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6A2" w:rsidRPr="00652662" w:rsidRDefault="00A776A2" w:rsidP="00DF761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T2204-04 Hitne interven</w:t>
            </w:r>
            <w:r w:rsidR="00EF3646"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 xml:space="preserve">cije </w:t>
            </w: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u srednjim školama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A776A2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5.289,49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EF3646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5.288,43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A776A2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A776A2" w:rsidRPr="00652662" w:rsidTr="00A87534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A2204-07 Administracija i upravljanje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EF3646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1.240.000,00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EF3646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1.296.564,02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A776A2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101,16</w:t>
            </w:r>
          </w:p>
        </w:tc>
      </w:tr>
      <w:tr w:rsidR="00A776A2" w:rsidRPr="00652662" w:rsidTr="00EF3646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Program: 2205 SREDNJE ŠKOLSTVO- IZNAD STANDARDA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6A2" w:rsidRPr="00652662" w:rsidRDefault="00A776A2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6A2" w:rsidRPr="00652662" w:rsidRDefault="00A776A2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6A2" w:rsidRPr="00652662" w:rsidRDefault="00A776A2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776A2" w:rsidRPr="00652662" w:rsidTr="00A87534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6A2" w:rsidRPr="00652662" w:rsidRDefault="00A776A2" w:rsidP="00423B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A2205-01 Javne potrebe u prosvjeti-</w:t>
            </w:r>
            <w:proofErr w:type="spellStart"/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koris.SŠ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EF3646" w:rsidP="005643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1.193,00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EF3646" w:rsidP="005643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1.192,53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EF3646" w:rsidP="005643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99,96</w:t>
            </w:r>
          </w:p>
        </w:tc>
      </w:tr>
      <w:tr w:rsidR="00A776A2" w:rsidRPr="00652662" w:rsidTr="00A87534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A2205-12 Podizanje kvalitete i standarda u školstvu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EF3646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3.740,00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EF3646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775,88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EF3646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20,75</w:t>
            </w:r>
          </w:p>
        </w:tc>
      </w:tr>
      <w:tr w:rsidR="00A776A2" w:rsidRPr="00652662" w:rsidTr="00A87534">
        <w:trPr>
          <w:trHeight w:val="348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A2205-22 Natjecanja i smotre u SŠ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EF3646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1.318,77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EF3646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1.318,77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EF3646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A776A2" w:rsidRPr="00652662" w:rsidTr="00A87534">
        <w:trPr>
          <w:gridAfter w:val="14"/>
          <w:wAfter w:w="14940" w:type="dxa"/>
          <w:trHeight w:val="255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A2205-31 Školska shema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EF3646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3.231,31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EF3646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1.841,62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EF3646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56,99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6661" w:rsidRPr="00652662" w:rsidTr="00A87534">
        <w:trPr>
          <w:gridAfter w:val="14"/>
          <w:wAfter w:w="14940" w:type="dxa"/>
          <w:trHeight w:val="255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61" w:rsidRPr="00652662" w:rsidRDefault="00B16661" w:rsidP="0089395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A2205-34 Projekt e-škole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661" w:rsidRPr="00652662" w:rsidRDefault="00B16661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730,02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661" w:rsidRPr="00652662" w:rsidRDefault="00B16661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730,00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661" w:rsidRPr="00652662" w:rsidRDefault="00B16661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61" w:rsidRPr="00652662" w:rsidRDefault="00B16661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6661" w:rsidRPr="00652662" w:rsidTr="00A87534">
        <w:trPr>
          <w:gridAfter w:val="14"/>
          <w:wAfter w:w="14940" w:type="dxa"/>
          <w:trHeight w:val="255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61" w:rsidRPr="00652662" w:rsidRDefault="00B16661" w:rsidP="0089395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 xml:space="preserve">A2205-37 Zalihe menstrualnih higijenskih </w:t>
            </w:r>
            <w:proofErr w:type="spellStart"/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potrepsština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661" w:rsidRPr="00652662" w:rsidRDefault="00B16661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1.079,32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661" w:rsidRPr="00652662" w:rsidRDefault="00B16661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1.077,76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661" w:rsidRPr="00652662" w:rsidRDefault="00B16661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99,86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61" w:rsidRPr="00652662" w:rsidRDefault="00B16661" w:rsidP="00893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A776A2" w:rsidRPr="00652662" w:rsidTr="00B16661">
        <w:trPr>
          <w:gridAfter w:val="16"/>
          <w:wAfter w:w="15907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Program:4302 Projekti EU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6A2" w:rsidRPr="00652662" w:rsidRDefault="00A776A2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6A2" w:rsidRPr="00652662" w:rsidRDefault="00A776A2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6A2" w:rsidRPr="00652662" w:rsidRDefault="00A776A2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776A2" w:rsidRPr="00652662" w:rsidTr="00A87534">
        <w:trPr>
          <w:gridAfter w:val="16"/>
          <w:wAfter w:w="15907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 xml:space="preserve">T4302-97 Projekt </w:t>
            </w:r>
            <w:proofErr w:type="spellStart"/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Erasmus-Facing</w:t>
            </w:r>
            <w:proofErr w:type="spellEnd"/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 xml:space="preserve"> ARTS </w:t>
            </w:r>
            <w:proofErr w:type="spellStart"/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Together</w:t>
            </w:r>
            <w:proofErr w:type="spellEnd"/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B16661" w:rsidP="005643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16.387,22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B16661" w:rsidP="005643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10.226,96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B16661" w:rsidP="005643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62,41</w:t>
            </w:r>
          </w:p>
        </w:tc>
      </w:tr>
      <w:tr w:rsidR="00A776A2" w:rsidRPr="00652662" w:rsidTr="00B16661">
        <w:trPr>
          <w:gridAfter w:val="16"/>
          <w:wAfter w:w="15907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Program:4306 Nacionalni EU projekti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6A2" w:rsidRPr="00652662" w:rsidRDefault="00A776A2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6A2" w:rsidRPr="00652662" w:rsidRDefault="00A776A2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6A2" w:rsidRPr="00652662" w:rsidRDefault="00A776A2" w:rsidP="005643B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776A2" w:rsidRPr="00652662" w:rsidTr="00A87534">
        <w:trPr>
          <w:gridAfter w:val="16"/>
          <w:wAfter w:w="15907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6A2" w:rsidRPr="00652662" w:rsidRDefault="00A776A2" w:rsidP="00893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 xml:space="preserve">T4306-03 </w:t>
            </w:r>
            <w:proofErr w:type="spellStart"/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Inkluzija</w:t>
            </w:r>
            <w:proofErr w:type="spellEnd"/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 xml:space="preserve">-korak bliže društvu bez prepreka 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B16661" w:rsidP="005643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35.196,77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B16661" w:rsidP="005643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23.569,07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6A2" w:rsidRPr="00652662" w:rsidRDefault="00B16661" w:rsidP="005643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26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66,96</w:t>
            </w:r>
          </w:p>
        </w:tc>
      </w:tr>
    </w:tbl>
    <w:p w:rsidR="00652662" w:rsidRDefault="00652662" w:rsidP="00994D35">
      <w:pPr>
        <w:spacing w:line="360" w:lineRule="auto"/>
        <w:jc w:val="both"/>
        <w:rPr>
          <w:rFonts w:eastAsia="Times New Roman" w:cstheme="minorHAnsi"/>
          <w:b/>
          <w:bCs/>
          <w:color w:val="000000"/>
          <w:lang w:eastAsia="hr-HR"/>
        </w:rPr>
      </w:pPr>
    </w:p>
    <w:p w:rsidR="00652662" w:rsidRDefault="00652662" w:rsidP="00994D35">
      <w:pPr>
        <w:spacing w:line="360" w:lineRule="auto"/>
        <w:jc w:val="both"/>
        <w:rPr>
          <w:rFonts w:eastAsia="Times New Roman" w:cstheme="minorHAnsi"/>
          <w:b/>
          <w:bCs/>
          <w:color w:val="000000"/>
          <w:lang w:eastAsia="hr-HR"/>
        </w:rPr>
      </w:pPr>
    </w:p>
    <w:p w:rsidR="00DF7616" w:rsidRPr="00652662" w:rsidRDefault="00423B29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eastAsia="Times New Roman" w:cstheme="minorHAnsi"/>
          <w:b/>
          <w:bCs/>
          <w:color w:val="000000"/>
          <w:lang w:eastAsia="hr-HR"/>
        </w:rPr>
        <w:lastRenderedPageBreak/>
        <w:t>Program: 2204 SREDNJE ŠKOLSTVO- STANDARD</w:t>
      </w:r>
    </w:p>
    <w:p w:rsidR="00423B29" w:rsidRPr="00652662" w:rsidRDefault="009C777A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 xml:space="preserve">Redovna djelatnost financira se iz sredstava primljenih od </w:t>
      </w:r>
      <w:r w:rsidR="00423B29" w:rsidRPr="00652662">
        <w:rPr>
          <w:rFonts w:cstheme="minorHAnsi"/>
        </w:rPr>
        <w:t>Zadarske</w:t>
      </w:r>
      <w:r w:rsidRPr="00652662">
        <w:rPr>
          <w:rFonts w:cstheme="minorHAnsi"/>
        </w:rPr>
        <w:t xml:space="preserve"> županije, sredstva ovise o broju učenika i razrednih odjeljenja, također o stvarnoj potrošnji za energente , naknade prijevoza zaposlenika, zdravstvenih pregleda </w:t>
      </w:r>
      <w:r w:rsidR="00423B29" w:rsidRPr="00652662">
        <w:rPr>
          <w:rFonts w:cstheme="minorHAnsi"/>
        </w:rPr>
        <w:t>itd</w:t>
      </w:r>
      <w:r w:rsidRPr="00652662">
        <w:rPr>
          <w:rFonts w:cstheme="minorHAnsi"/>
        </w:rPr>
        <w:t>. Sredstva se k</w:t>
      </w:r>
      <w:bookmarkStart w:id="0" w:name="_GoBack"/>
      <w:bookmarkEnd w:id="0"/>
      <w:r w:rsidRPr="00652662">
        <w:rPr>
          <w:rFonts w:cstheme="minorHAnsi"/>
        </w:rPr>
        <w:t xml:space="preserve">oriste za podmirenje materijalnih rashoda za svakodnevno neometano održavanje nastave. </w:t>
      </w:r>
    </w:p>
    <w:p w:rsidR="00423B29" w:rsidRPr="00652662" w:rsidRDefault="009C777A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 xml:space="preserve">Opći ciljevi: Redovito podmirivanje svih troškova za što kvalitetnije i uspješnije odvijanje nastavnog procesa. </w:t>
      </w:r>
    </w:p>
    <w:p w:rsidR="00423B29" w:rsidRPr="00652662" w:rsidRDefault="009C777A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 xml:space="preserve">Posebni ciljevi: Uspješno i kvalitetno odvijanje nastave uz zadovoljenje svih potrebnih zahtjeva učenika i djelatnika. </w:t>
      </w:r>
    </w:p>
    <w:p w:rsidR="009C777A" w:rsidRPr="00652662" w:rsidRDefault="009C777A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>OSTVARENI CILJEVI PROGRAMA: Sve obveze škola je podmirila pravovremeno.</w:t>
      </w:r>
    </w:p>
    <w:p w:rsidR="00423B29" w:rsidRPr="00652662" w:rsidRDefault="00423B29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 xml:space="preserve">Aktivnost </w:t>
      </w:r>
      <w:r w:rsidRPr="00652662">
        <w:rPr>
          <w:rFonts w:eastAsia="Times New Roman" w:cstheme="minorHAnsi"/>
          <w:b/>
          <w:bCs/>
          <w:color w:val="000000"/>
          <w:lang w:eastAsia="hr-HR"/>
        </w:rPr>
        <w:t>A2204-07 Administracija i upravljanje</w:t>
      </w:r>
      <w:r w:rsidRPr="00652662">
        <w:rPr>
          <w:rFonts w:eastAsia="Times New Roman" w:cstheme="minorHAnsi"/>
          <w:bCs/>
          <w:color w:val="000000"/>
          <w:lang w:eastAsia="hr-HR"/>
        </w:rPr>
        <w:t xml:space="preserve"> </w:t>
      </w:r>
      <w:r w:rsidRPr="00652662">
        <w:rPr>
          <w:rFonts w:cstheme="minorHAnsi"/>
        </w:rPr>
        <w:t xml:space="preserve">obuhvaća isplate plaća, materijalnih prava i ostalih naknada zaposlenima u školi, izvor financiranja je Ministarstvo znanosti i obrazovanja. </w:t>
      </w:r>
    </w:p>
    <w:p w:rsidR="00423B29" w:rsidRPr="00652662" w:rsidRDefault="00423B29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 xml:space="preserve">Opći ciljevi: Podmirivanje obveza prema zaposlenicima, isplata plaća, materijalnih prava i drugih naknada. </w:t>
      </w:r>
    </w:p>
    <w:p w:rsidR="00423B29" w:rsidRPr="00652662" w:rsidRDefault="00423B29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 xml:space="preserve">Posebni ciljevi: Izvršavanje obveza i poštivanje prava zaposlenika prema temeljnom kolektivnom ugovoru. </w:t>
      </w:r>
    </w:p>
    <w:p w:rsidR="00423B29" w:rsidRPr="00652662" w:rsidRDefault="009C7035" w:rsidP="00994D35">
      <w:pPr>
        <w:spacing w:line="360" w:lineRule="auto"/>
        <w:jc w:val="both"/>
        <w:rPr>
          <w:rFonts w:eastAsia="Times New Roman" w:cstheme="minorHAnsi"/>
          <w:b/>
          <w:bCs/>
          <w:color w:val="000000"/>
          <w:lang w:eastAsia="hr-HR"/>
        </w:rPr>
      </w:pPr>
      <w:r w:rsidRPr="00652662">
        <w:rPr>
          <w:rFonts w:eastAsia="Times New Roman" w:cstheme="minorHAnsi"/>
          <w:b/>
          <w:bCs/>
          <w:color w:val="000000"/>
          <w:lang w:eastAsia="hr-HR"/>
        </w:rPr>
        <w:t>Program: 2205</w:t>
      </w:r>
      <w:r w:rsidR="00423B29" w:rsidRPr="00652662">
        <w:rPr>
          <w:rFonts w:eastAsia="Times New Roman" w:cstheme="minorHAnsi"/>
          <w:b/>
          <w:bCs/>
          <w:color w:val="000000"/>
          <w:lang w:eastAsia="hr-HR"/>
        </w:rPr>
        <w:t xml:space="preserve"> SREDNJE ŠKOLSTVO- IZNAD STANDARDA</w:t>
      </w:r>
    </w:p>
    <w:p w:rsidR="00423B29" w:rsidRPr="00652662" w:rsidRDefault="00423B29" w:rsidP="00994D35">
      <w:pPr>
        <w:spacing w:line="360" w:lineRule="auto"/>
        <w:jc w:val="both"/>
        <w:rPr>
          <w:rFonts w:cstheme="minorHAnsi"/>
        </w:rPr>
      </w:pPr>
      <w:r w:rsidRPr="00652662">
        <w:rPr>
          <w:rFonts w:eastAsia="Times New Roman" w:cstheme="minorHAnsi"/>
          <w:bCs/>
          <w:color w:val="000000"/>
          <w:lang w:eastAsia="hr-HR"/>
        </w:rPr>
        <w:t>Program 220</w:t>
      </w:r>
      <w:r w:rsidR="009C7035" w:rsidRPr="00652662">
        <w:rPr>
          <w:rFonts w:eastAsia="Times New Roman" w:cstheme="minorHAnsi"/>
          <w:bCs/>
          <w:color w:val="000000"/>
          <w:lang w:eastAsia="hr-HR"/>
        </w:rPr>
        <w:t>5</w:t>
      </w:r>
      <w:r w:rsidR="009C7035" w:rsidRPr="00652662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="009C7035" w:rsidRPr="00652662">
        <w:rPr>
          <w:rFonts w:cstheme="minorHAnsi"/>
        </w:rPr>
        <w:t>financira se iz sredstava primljenih od Zadarske županije, iz sredstava primljenih od Državnog proračuna, pomoći iz inozemstva  i od viška prihoda.</w:t>
      </w:r>
      <w:r w:rsidR="00625B9C" w:rsidRPr="00652662">
        <w:rPr>
          <w:rFonts w:cstheme="minorHAnsi"/>
        </w:rPr>
        <w:t xml:space="preserve"> Program obuhvaća financiranje širih javnih potreba u školstvu.</w:t>
      </w:r>
    </w:p>
    <w:p w:rsidR="00625B9C" w:rsidRPr="00652662" w:rsidRDefault="00625B9C" w:rsidP="00625B9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hr-HR"/>
        </w:rPr>
      </w:pPr>
      <w:r w:rsidRPr="00652662">
        <w:rPr>
          <w:rFonts w:eastAsia="Times New Roman" w:cstheme="minorHAnsi"/>
          <w:b/>
          <w:bCs/>
          <w:color w:val="000000"/>
          <w:lang w:eastAsia="hr-HR"/>
        </w:rPr>
        <w:t>Program:4302 Projekti EU</w:t>
      </w:r>
    </w:p>
    <w:p w:rsidR="00625B9C" w:rsidRPr="00652662" w:rsidRDefault="00625B9C" w:rsidP="00625B9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hr-HR"/>
        </w:rPr>
      </w:pPr>
    </w:p>
    <w:p w:rsidR="00625B9C" w:rsidRPr="00652662" w:rsidRDefault="00625B9C" w:rsidP="00652662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lang w:eastAsia="hr-HR"/>
        </w:rPr>
      </w:pPr>
      <w:r w:rsidRPr="00652662">
        <w:rPr>
          <w:rFonts w:eastAsia="Times New Roman" w:cstheme="minorHAnsi"/>
          <w:bCs/>
          <w:color w:val="000000"/>
          <w:lang w:eastAsia="hr-HR"/>
        </w:rPr>
        <w:t>Program 4302</w:t>
      </w:r>
      <w:r w:rsidRPr="00652662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Pr="00652662">
        <w:rPr>
          <w:rFonts w:cstheme="minorHAnsi"/>
        </w:rPr>
        <w:t>odnosi se na ERASMUS projekt Facing Arts Together, i financiran je iz viška prihoda</w:t>
      </w:r>
      <w:r w:rsidR="00B16661" w:rsidRPr="00652662">
        <w:rPr>
          <w:rFonts w:cstheme="minorHAnsi"/>
        </w:rPr>
        <w:t xml:space="preserve"> i dobivenog novca nakon uspješno završenog projekta</w:t>
      </w:r>
      <w:r w:rsidR="00652662" w:rsidRPr="00652662">
        <w:rPr>
          <w:rFonts w:cstheme="minorHAnsi"/>
        </w:rPr>
        <w:t xml:space="preserve"> od Agencije za mobilnost i projekte EU</w:t>
      </w:r>
      <w:r w:rsidRPr="00652662">
        <w:rPr>
          <w:rFonts w:cstheme="minorHAnsi"/>
        </w:rPr>
        <w:t>.</w:t>
      </w:r>
    </w:p>
    <w:p w:rsidR="00483482" w:rsidRPr="00652662" w:rsidRDefault="00483482" w:rsidP="0048348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hr-HR"/>
        </w:rPr>
      </w:pPr>
    </w:p>
    <w:p w:rsidR="00483482" w:rsidRPr="00652662" w:rsidRDefault="00483482" w:rsidP="00994D35">
      <w:pPr>
        <w:spacing w:line="360" w:lineRule="auto"/>
        <w:jc w:val="both"/>
        <w:rPr>
          <w:rFonts w:eastAsia="Times New Roman" w:cstheme="minorHAnsi"/>
          <w:b/>
          <w:bCs/>
          <w:color w:val="000000"/>
          <w:lang w:eastAsia="hr-HR"/>
        </w:rPr>
      </w:pPr>
      <w:r w:rsidRPr="00652662">
        <w:rPr>
          <w:rFonts w:eastAsia="Times New Roman" w:cstheme="minorHAnsi"/>
          <w:b/>
          <w:bCs/>
          <w:color w:val="000000"/>
          <w:lang w:eastAsia="hr-HR"/>
        </w:rPr>
        <w:t>Program:4306 Nacionalni EU projekti</w:t>
      </w:r>
    </w:p>
    <w:p w:rsidR="00483482" w:rsidRPr="00652662" w:rsidRDefault="00483482" w:rsidP="00652662">
      <w:pPr>
        <w:spacing w:line="360" w:lineRule="auto"/>
        <w:jc w:val="both"/>
        <w:rPr>
          <w:rFonts w:eastAsia="Times New Roman" w:cstheme="minorHAnsi"/>
          <w:bCs/>
          <w:color w:val="000000"/>
          <w:lang w:eastAsia="hr-HR"/>
        </w:rPr>
      </w:pPr>
      <w:r w:rsidRPr="00652662">
        <w:rPr>
          <w:rFonts w:eastAsia="Times New Roman" w:cstheme="minorHAnsi"/>
          <w:bCs/>
          <w:color w:val="000000"/>
          <w:lang w:eastAsia="hr-HR"/>
        </w:rPr>
        <w:t>Program 4306 odnosi se na financiranje Inkluzije, tj. za obveze prema pomoćnicima u nastavi. Program je financiran od strane Zadarske županije, državnog proračuna i pomoći iz inozemstva.</w:t>
      </w:r>
    </w:p>
    <w:p w:rsidR="005643B7" w:rsidRPr="00652662" w:rsidRDefault="00483482" w:rsidP="005643B7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 xml:space="preserve">Opći ciljevi: Uključivanje ili inkluzija je zahtjev koji je koncepcijski nazvan odgoj i obrazovanje za sve. Pod njim se podrazumijeva uključenost sve djece i mladih na sve razine formalnog odgojno-obrazovnog </w:t>
      </w:r>
      <w:r w:rsidRPr="00652662">
        <w:rPr>
          <w:rFonts w:cstheme="minorHAnsi"/>
        </w:rPr>
        <w:lastRenderedPageBreak/>
        <w:t>sustava. Inkluzivno obrazovanje je koncept koji proširuje i produbljuje odgojni model integracije djece s teškoćama u razvoju u redovno školovanje.</w:t>
      </w:r>
      <w:r w:rsidR="005643B7" w:rsidRPr="00652662">
        <w:rPr>
          <w:rFonts w:cstheme="minorHAnsi"/>
        </w:rPr>
        <w:t xml:space="preserve"> </w:t>
      </w:r>
    </w:p>
    <w:p w:rsidR="005643B7" w:rsidRPr="00652662" w:rsidRDefault="005643B7" w:rsidP="005643B7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 xml:space="preserve">Podmirivanje obveza prema zaposlenicima, isplata plaća, materijalnih prava i drugih naknada. </w:t>
      </w:r>
    </w:p>
    <w:p w:rsidR="005643B7" w:rsidRPr="00652662" w:rsidRDefault="005643B7" w:rsidP="005643B7">
      <w:pPr>
        <w:spacing w:line="360" w:lineRule="auto"/>
        <w:jc w:val="both"/>
        <w:rPr>
          <w:rFonts w:cstheme="minorHAnsi"/>
        </w:rPr>
      </w:pPr>
      <w:r w:rsidRPr="00652662">
        <w:rPr>
          <w:rFonts w:cstheme="minorHAnsi"/>
        </w:rPr>
        <w:t xml:space="preserve">Posebni ciljevi: Izvršavanje obveza i poštivanje prava pomoćnika u nastavi. </w:t>
      </w:r>
    </w:p>
    <w:p w:rsidR="00483482" w:rsidRPr="00652662" w:rsidRDefault="00483482" w:rsidP="00483482">
      <w:pPr>
        <w:spacing w:line="360" w:lineRule="auto"/>
        <w:jc w:val="both"/>
        <w:rPr>
          <w:rFonts w:cstheme="minorHAnsi"/>
        </w:rPr>
      </w:pPr>
    </w:p>
    <w:p w:rsidR="00483482" w:rsidRPr="00652662" w:rsidRDefault="00483482" w:rsidP="00994D35">
      <w:pPr>
        <w:spacing w:line="360" w:lineRule="auto"/>
        <w:jc w:val="both"/>
        <w:rPr>
          <w:rFonts w:cstheme="minorHAnsi"/>
        </w:rPr>
      </w:pPr>
    </w:p>
    <w:sectPr w:rsidR="00483482" w:rsidRPr="00652662" w:rsidSect="0004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43"/>
    <w:rsid w:val="000435DC"/>
    <w:rsid w:val="00180224"/>
    <w:rsid w:val="00227A5A"/>
    <w:rsid w:val="00314253"/>
    <w:rsid w:val="00336E59"/>
    <w:rsid w:val="00423B29"/>
    <w:rsid w:val="00471B2B"/>
    <w:rsid w:val="00483482"/>
    <w:rsid w:val="00542128"/>
    <w:rsid w:val="005643B7"/>
    <w:rsid w:val="00625B9C"/>
    <w:rsid w:val="00652662"/>
    <w:rsid w:val="006A2189"/>
    <w:rsid w:val="006A3F33"/>
    <w:rsid w:val="00770CC0"/>
    <w:rsid w:val="00783043"/>
    <w:rsid w:val="008406D8"/>
    <w:rsid w:val="0089395C"/>
    <w:rsid w:val="00976114"/>
    <w:rsid w:val="00994D35"/>
    <w:rsid w:val="009B53F4"/>
    <w:rsid w:val="009C7035"/>
    <w:rsid w:val="009C777A"/>
    <w:rsid w:val="00A776A2"/>
    <w:rsid w:val="00A87534"/>
    <w:rsid w:val="00B03D57"/>
    <w:rsid w:val="00B16661"/>
    <w:rsid w:val="00B35142"/>
    <w:rsid w:val="00BB6289"/>
    <w:rsid w:val="00C3740B"/>
    <w:rsid w:val="00C9452E"/>
    <w:rsid w:val="00DE6B7D"/>
    <w:rsid w:val="00DF7616"/>
    <w:rsid w:val="00EF3646"/>
    <w:rsid w:val="00EF3C3A"/>
    <w:rsid w:val="00F14AFD"/>
    <w:rsid w:val="00FA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9779C-28C8-411A-A2CD-11C323E4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5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dcterms:created xsi:type="dcterms:W3CDTF">2024-04-12T11:53:00Z</dcterms:created>
  <dcterms:modified xsi:type="dcterms:W3CDTF">2024-04-12T11:53:00Z</dcterms:modified>
</cp:coreProperties>
</file>